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bidi w:val="0"/>
        <w:spacing w:lineRule="auto" w:line="360" w:before="0" w:after="0"/>
        <w:jc w:val="both"/>
        <w:rPr>
          <w:rFonts w:ascii="Arial Narrow" w:hAnsi="Arial Narrow" w:eastAsia="Times New Roman" w:cs="Calibri"/>
          <w:b/>
          <w:caps/>
          <w:color w:val="000000"/>
          <w:kern w:val="2"/>
          <w:sz w:val="24"/>
          <w:szCs w:val="24"/>
          <w:u w:val="single"/>
          <w:lang w:eastAsia="es-AR"/>
        </w:rPr>
      </w:pPr>
      <w:r>
        <w:rPr>
          <w:rFonts w:eastAsia="Times New Roman" w:cs="Calibri" w:ascii="Arial Narrow" w:hAnsi="Arial Narrow"/>
          <w:b/>
          <w:caps/>
          <w:color w:val="000000"/>
          <w:kern w:val="2"/>
          <w:sz w:val="24"/>
          <w:szCs w:val="24"/>
          <w:u w:val="single"/>
          <w:lang w:eastAsia="es-AR"/>
        </w:rPr>
        <w:t>Las sociedades unipersonales en el Código Civil y Comercial</w:t>
      </w:r>
    </w:p>
    <w:p>
      <w:pPr>
        <w:pStyle w:val="Normal"/>
        <w:shd w:val="clear" w:fill="FFFFFF"/>
        <w:bidi w:val="0"/>
        <w:spacing w:lineRule="auto" w:line="360" w:before="0" w:after="0"/>
        <w:jc w:val="start"/>
        <w:rPr>
          <w:rFonts w:ascii="Arial Narrow" w:hAnsi="Arial Narrow"/>
          <w:color w:val="000000"/>
          <w:sz w:val="24"/>
          <w:szCs w:val="24"/>
        </w:rPr>
      </w:pPr>
      <w:r>
        <w:rPr>
          <w:rFonts w:eastAsia="Times New Roman" w:cs="Calibri" w:ascii="Arial Narrow" w:hAnsi="Arial Narrow"/>
          <w:b/>
          <w:color w:val="000000"/>
          <w:sz w:val="24"/>
          <w:szCs w:val="24"/>
          <w:lang w:eastAsia="es-AR"/>
        </w:rPr>
        <w:t>por PABLO CARLOS BARBIERI</w:t>
      </w:r>
    </w:p>
    <w:p>
      <w:pPr>
        <w:pStyle w:val="Normal"/>
        <w:shd w:val="clear" w:fill="FFFFFF"/>
        <w:bidi w:val="0"/>
        <w:spacing w:lineRule="auto" w:line="360" w:before="0" w:after="0"/>
        <w:jc w:val="start"/>
        <w:rPr>
          <w:rFonts w:ascii="Arial Narrow" w:hAnsi="Arial Narrow"/>
          <w:color w:val="000000"/>
          <w:sz w:val="24"/>
          <w:szCs w:val="24"/>
        </w:rPr>
      </w:pPr>
      <w:r>
        <w:rPr>
          <w:rFonts w:eastAsia="Times New Roman" w:cs="Calibri" w:ascii="Arial Narrow" w:hAnsi="Arial Narrow"/>
          <w:b/>
          <w:color w:val="000000"/>
          <w:sz w:val="24"/>
          <w:szCs w:val="24"/>
          <w:lang w:eastAsia="es-AR"/>
        </w:rPr>
        <w:t>15 de Abril de 2015</w:t>
      </w:r>
    </w:p>
    <w:p>
      <w:pPr>
        <w:pStyle w:val="Normal"/>
        <w:shd w:val="clear" w:fill="FFFFFF"/>
        <w:bidi w:val="0"/>
        <w:spacing w:lineRule="auto" w:line="360" w:before="0" w:after="0"/>
        <w:jc w:val="start"/>
        <w:rPr>
          <w:rFonts w:ascii="Arial Narrow" w:hAnsi="Arial Narrow"/>
          <w:color w:val="000000"/>
          <w:sz w:val="24"/>
          <w:szCs w:val="24"/>
        </w:rPr>
      </w:pPr>
      <w:r>
        <w:rPr>
          <w:rFonts w:eastAsia="Times New Roman" w:cs="Calibri" w:ascii="Arial Narrow" w:hAnsi="Arial Narrow"/>
          <w:b/>
          <w:color w:val="000000"/>
          <w:sz w:val="24"/>
          <w:szCs w:val="24"/>
          <w:lang w:eastAsia="es-AR"/>
        </w:rPr>
        <w:t>www.infojus.gov.ar</w:t>
      </w:r>
    </w:p>
    <w:p>
      <w:pPr>
        <w:pStyle w:val="ListParagraph"/>
        <w:numPr>
          <w:ilvl w:val="0"/>
          <w:numId w:val="1"/>
        </w:numPr>
        <w:shd w:val="clear" w:fill="FFFFFF"/>
        <w:bidi w:val="0"/>
        <w:spacing w:lineRule="auto" w:line="360" w:before="0" w:after="0"/>
        <w:ind w:hanging="284" w:start="284"/>
        <w:contextualSpacing/>
        <w:jc w:val="start"/>
        <w:rPr>
          <w:rFonts w:ascii="Arial Narrow" w:hAnsi="Arial Narrow"/>
          <w:color w:val="000000"/>
          <w:sz w:val="24"/>
          <w:szCs w:val="24"/>
        </w:rPr>
      </w:pPr>
      <w:r>
        <w:rPr>
          <w:rFonts w:eastAsia="Times New Roman" w:cs="Calibri" w:ascii="Arial Narrow" w:hAnsi="Arial Narrow"/>
          <w:b/>
          <w:color w:val="000000"/>
          <w:sz w:val="24"/>
          <w:szCs w:val="24"/>
          <w:lang w:eastAsia="es-AR"/>
        </w:rPr>
        <w:t>La importancia de una reforma.</w:t>
      </w:r>
    </w:p>
    <w:p>
      <w:pPr>
        <w:pStyle w:val="Normal"/>
        <w:shd w:val="clear" w:fill="FFFFFF"/>
        <w:bidi w:val="0"/>
        <w:spacing w:lineRule="auto" w:line="360" w:before="0" w:after="0"/>
        <w:jc w:val="both"/>
        <w:rPr/>
      </w:pPr>
      <w:r>
        <w:rPr>
          <w:rFonts w:eastAsia="Times New Roman" w:cs="Calibri" w:ascii="Arial Narrow" w:hAnsi="Arial Narrow"/>
          <w:color w:val="000000"/>
          <w:sz w:val="24"/>
          <w:szCs w:val="24"/>
          <w:lang w:eastAsia="es-AR"/>
        </w:rPr>
        <w:t>Una de las reformas más importantes que contiene el Código Civil y Comercial, es la admisión, en nuestro Derecho Mercantil, de la figura de la sociedad unipersonal o sociedad de un solo socio, la que se produce mediante reformas que el Código dispone sobre la </w:t>
      </w:r>
      <w:r>
        <w:fldChar w:fldCharType="begin"/>
      </w:r>
      <w:r>
        <w:rPr>
          <w:rStyle w:val="Style5"/>
          <w:rFonts w:eastAsia="Times New Roman" w:cs="Calibri" w:ascii="Arial Narrow" w:hAnsi="Arial Narrow"/>
          <w:color w:val="000000"/>
          <w:sz w:val="24"/>
          <w:szCs w:val="24"/>
          <w:lang w:eastAsia="es-AR"/>
        </w:rPr>
        <w:instrText xml:space="preserve"> HYPERLINK "http://www.infojus.gob.ar/pablo-carlos-barbieri-sociedades-unipersonales-codigo-civil-comercial-dacf150286-2015-04-15/123456789-0abc-defg6820-51fcanirtcod" \l "CT000"</w:instrText>
      </w:r>
      <w:r>
        <w:rPr>
          <w:rStyle w:val="Style5"/>
          <w:rFonts w:eastAsia="Times New Roman" w:cs="Calibri" w:ascii="Arial Narrow" w:hAnsi="Arial Narrow"/>
          <w:color w:val="000000"/>
          <w:sz w:val="24"/>
          <w:szCs w:val="24"/>
          <w:lang w:eastAsia="es-AR"/>
        </w:rPr>
        <w:fldChar w:fldCharType="separate"/>
      </w:r>
      <w:r>
        <w:rPr>
          <w:rStyle w:val="Style5"/>
          <w:rFonts w:eastAsia="Times New Roman" w:cs="Calibri" w:ascii="Arial Narrow" w:hAnsi="Arial Narrow"/>
          <w:color w:val="000000"/>
          <w:sz w:val="24"/>
          <w:szCs w:val="24"/>
          <w:lang w:eastAsia="es-AR"/>
        </w:rPr>
        <w:t>Ley de Sociedades N° 19.550.</w:t>
      </w:r>
      <w:r>
        <w:rPr>
          <w:rStyle w:val="Style5"/>
          <w:rFonts w:eastAsia="Times New Roman" w:cs="Calibri" w:ascii="Arial Narrow" w:hAnsi="Arial Narrow"/>
          <w:color w:val="000000"/>
          <w:sz w:val="24"/>
          <w:szCs w:val="24"/>
          <w:lang w:eastAsia="es-AR"/>
        </w:rPr>
        <w:fldChar w:fldCharType="end"/>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 xml:space="preserve">Se recepta la sociedad de un solo socio. La idea central no es la limitación de la responsabilidad, sino permitir la organización de patrimonios con empresa -objeto- en beneficio de los acreedores de la empresa individual de un sujeto con actividad empresarial múltiple. </w:t>
      </w:r>
    </w:p>
    <w:p>
      <w:pPr>
        <w:pStyle w:val="Normal"/>
        <w:shd w:val="clear" w:fill="FFFFFF"/>
        <w:bidi w:val="0"/>
        <w:spacing w:lineRule="auto" w:line="360" w:before="0" w:after="0"/>
        <w:jc w:val="start"/>
        <w:rPr>
          <w:rFonts w:ascii="Arial Narrow" w:hAnsi="Arial Narrow"/>
          <w:color w:val="000000"/>
          <w:sz w:val="24"/>
          <w:szCs w:val="24"/>
        </w:rPr>
      </w:pPr>
      <w:r>
        <w:rPr>
          <w:rFonts w:eastAsia="Times New Roman" w:cs="Calibri" w:ascii="Arial Narrow" w:hAnsi="Arial Narrow"/>
          <w:b/>
          <w:color w:val="000000"/>
          <w:sz w:val="24"/>
          <w:szCs w:val="24"/>
          <w:lang w:eastAsia="es-AR"/>
        </w:rPr>
        <w:t>2. Sociedad unipersonal como sociedad anónima. Reformas al art. 1 de la ley 19.550.</w:t>
      </w:r>
    </w:p>
    <w:p>
      <w:pPr>
        <w:pStyle w:val="Normal"/>
        <w:shd w:val="clear" w:fill="FFFFFF"/>
        <w:bidi w:val="0"/>
        <w:spacing w:lineRule="auto" w:line="360" w:before="0" w:after="0"/>
        <w:jc w:val="both"/>
        <w:rPr/>
      </w:pPr>
      <w:r>
        <w:rPr>
          <w:rFonts w:eastAsia="Times New Roman" w:cs="Calibri" w:ascii="Arial Narrow" w:hAnsi="Arial Narrow"/>
          <w:color w:val="000000"/>
          <w:sz w:val="24"/>
          <w:szCs w:val="24"/>
          <w:lang w:eastAsia="es-AR"/>
        </w:rPr>
        <w:t>El texto del </w:t>
      </w:r>
      <w:r>
        <w:fldChar w:fldCharType="begin"/>
      </w:r>
      <w:r>
        <w:rPr>
          <w:rStyle w:val="Style5"/>
          <w:rFonts w:eastAsia="Times New Roman" w:cs="Calibri" w:ascii="Arial Narrow" w:hAnsi="Arial Narrow"/>
          <w:color w:val="000000"/>
          <w:sz w:val="24"/>
          <w:szCs w:val="24"/>
          <w:lang w:eastAsia="es-AR"/>
        </w:rPr>
        <w:instrText xml:space="preserve"> HYPERLINK "http://www.infojus.gob.ar/pablo-carlos-barbieri-sociedades-unipersonales-codigo-civil-comercial-dacf150286-2015-04-15/123456789-0abc-defg6820-51fcanirtcod" \l "CT001"</w:instrText>
      </w:r>
      <w:r>
        <w:rPr>
          <w:rStyle w:val="Style5"/>
          <w:rFonts w:eastAsia="Times New Roman" w:cs="Calibri" w:ascii="Arial Narrow" w:hAnsi="Arial Narrow"/>
          <w:color w:val="000000"/>
          <w:sz w:val="24"/>
          <w:szCs w:val="24"/>
          <w:lang w:eastAsia="es-AR"/>
        </w:rPr>
        <w:fldChar w:fldCharType="separate"/>
      </w:r>
      <w:r>
        <w:rPr>
          <w:rStyle w:val="Style5"/>
          <w:rFonts w:eastAsia="Times New Roman" w:cs="Calibri" w:ascii="Arial Narrow" w:hAnsi="Arial Narrow"/>
          <w:color w:val="000000"/>
          <w:sz w:val="24"/>
          <w:szCs w:val="24"/>
          <w:lang w:eastAsia="es-AR"/>
        </w:rPr>
        <w:t>art. 1º</w:t>
      </w:r>
      <w:r>
        <w:rPr>
          <w:rStyle w:val="Style5"/>
          <w:rFonts w:eastAsia="Times New Roman" w:cs="Calibri" w:ascii="Arial Narrow" w:hAnsi="Arial Narrow"/>
          <w:color w:val="000000"/>
          <w:sz w:val="24"/>
          <w:szCs w:val="24"/>
          <w:lang w:eastAsia="es-AR"/>
        </w:rPr>
        <w:fldChar w:fldCharType="end"/>
      </w:r>
      <w:r>
        <w:rPr>
          <w:rFonts w:eastAsia="Times New Roman" w:cs="Calibri" w:ascii="Arial Narrow" w:hAnsi="Arial Narrow"/>
          <w:color w:val="000000"/>
          <w:sz w:val="24"/>
          <w:szCs w:val="24"/>
          <w:lang w:eastAsia="es-AR"/>
        </w:rPr>
        <w:t xml:space="preserve"> de la Ley de Sociedades, una vez entrado en vigencia el Código Civil y Comercial, rezará: </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 xml:space="preserve">"Concepto. Habrá sociedad </w:t>
      </w:r>
      <w:r>
        <w:rPr>
          <w:rFonts w:eastAsia="Times New Roman" w:cs="Calibri" w:ascii="Arial Narrow" w:hAnsi="Arial Narrow"/>
          <w:b/>
          <w:color w:val="000000"/>
          <w:sz w:val="24"/>
          <w:szCs w:val="24"/>
          <w:u w:val="single"/>
          <w:lang w:eastAsia="es-AR"/>
        </w:rPr>
        <w:t>si una</w:t>
      </w:r>
      <w:r>
        <w:rPr>
          <w:rFonts w:eastAsia="Times New Roman" w:cs="Calibri" w:ascii="Arial Narrow" w:hAnsi="Arial Narrow"/>
          <w:color w:val="000000"/>
          <w:sz w:val="24"/>
          <w:szCs w:val="24"/>
          <w:lang w:eastAsia="es-AR"/>
        </w:rPr>
        <w:t xml:space="preserve"> o más personas en forma organizada conforme a uno de los tipos previstos en esta ley, se obligan a realizar aportes para aplicarlos a la producción o intercambio de bienes o servicios, participando de los beneficios y soportando las pérdidas. La sociedad unipersonal sólo se podrá constituir como sociedad anónima. La sociedad unipersonal no puede constituirse por una sociedad unipersonal".</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Las diferencias con el texto actualmente vigente son palmarias, a saber:</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-Se elimina el requisito de la pluralidad de socios para conformar la sociedad comercial; había sido este recaudo resaltado como uno de los "caracteres esenciales" de la sociedad comercial.</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-Se incorpora la tipificación de la sociedad unipersonal como anónima, con lo cual estaremos en presencia de la Sociedad Anónima Unipersonal (S.A.U.). Allí, expresamente, se establece que "La denominación social puede incluir el nombre de una o más personas de existencia visible y debe contener la expresión "sociedad anónima", su abreviatura o la sigla S.A. En caso de sociedad anónima unipersonal deberá contener la expresión "sociedad anónima unipersonal", su abreviatura o la sigla S.A.U." -El único modo permitido por la ley para constituir una S.A.U. es la sociedad anónima, por lo cual está vedada la posibilidad de encontrar sociedades unipersonales de responsabilidad limitada, como se prevé en otras legislaciones comparadas.</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-Finalmente, se prevé que una sociedad unipersonal no podrá constituirse por otra sociedad unipersonal, situación que, en realidad, sería generadora de fraudes y hasta parecería imposible en el diseño del instituto.</w:t>
      </w:r>
    </w:p>
    <w:p>
      <w:pPr>
        <w:pStyle w:val="Normal"/>
        <w:shd w:val="clear" w:fill="FFFFFF"/>
        <w:bidi w:val="0"/>
        <w:spacing w:lineRule="auto" w:line="360" w:before="0" w:after="0"/>
        <w:jc w:val="start"/>
        <w:rPr>
          <w:rFonts w:ascii="Arial Narrow" w:hAnsi="Arial Narrow"/>
          <w:color w:val="000000"/>
          <w:sz w:val="24"/>
          <w:szCs w:val="24"/>
        </w:rPr>
      </w:pPr>
      <w:r>
        <w:rPr>
          <w:rFonts w:eastAsia="Times New Roman" w:cs="Calibri" w:ascii="Arial Narrow" w:hAnsi="Arial Narrow"/>
          <w:b/>
          <w:color w:val="000000"/>
          <w:sz w:val="24"/>
          <w:szCs w:val="24"/>
          <w:lang w:eastAsia="es-AR"/>
        </w:rPr>
        <w:t>3. Su constitución.</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En relación a la constitución de las S.A.U., por tratarse de una sociedad anónima, regirán ciertas exigencias en cuanto a sus formas: La LS, deberá expresarse en "instrumento público y por acto único...". Luego, deberá seguirse el iter constitutivo, a fin de lograr la inscripción en el Registro Público correspondiente.</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 xml:space="preserve">Sin embargo, el capital deberá ser integrado </w:t>
      </w:r>
      <w:r>
        <w:rPr>
          <w:rFonts w:eastAsia="Times New Roman" w:cs="Calibri" w:ascii="Arial Narrow" w:hAnsi="Arial Narrow"/>
          <w:color w:val="000000"/>
          <w:sz w:val="24"/>
          <w:szCs w:val="24"/>
          <w:u w:val="single"/>
          <w:lang w:eastAsia="es-AR"/>
        </w:rPr>
        <w:t>totalmente</w:t>
      </w:r>
      <w:r>
        <w:rPr>
          <w:rFonts w:eastAsia="Times New Roman" w:cs="Calibri" w:ascii="Arial Narrow" w:hAnsi="Arial Narrow"/>
          <w:color w:val="000000"/>
          <w:sz w:val="24"/>
          <w:szCs w:val="24"/>
          <w:lang w:eastAsia="es-AR"/>
        </w:rPr>
        <w:t xml:space="preserve"> en el acto constitutivo y en la suscripciones de futuros aumentos de capital.</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Ello establece una clara diferencia con los restantes tipos societarios previstos en la ley 19.550, donde dicha exigencia se encuentra ausente, posibilitando la integración hacia el futuro, circunstancia que se genera frecuentemente en la práctica.</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La limitación de responsabilidad que importa la conformación de una sociedad unipersonal debe incluir, al menos, que su capital se encuentre totalmente suscripto e integrado al momento de su constitución. Caso contrario, esta responsabilidad podría diluirse y los objetivos previstos para la regulación de las sociedades unipersonales se verían truncos.</w:t>
      </w:r>
    </w:p>
    <w:p>
      <w:pPr>
        <w:pStyle w:val="Normal"/>
        <w:shd w:val="clear" w:fill="FFFFFF"/>
        <w:bidi w:val="0"/>
        <w:spacing w:lineRule="auto" w:line="360" w:before="0" w:after="0"/>
        <w:jc w:val="start"/>
        <w:rPr>
          <w:rFonts w:ascii="Arial Narrow" w:hAnsi="Arial Narrow"/>
          <w:color w:val="000000"/>
          <w:sz w:val="24"/>
          <w:szCs w:val="24"/>
        </w:rPr>
      </w:pPr>
      <w:r>
        <w:rPr>
          <w:rFonts w:eastAsia="Times New Roman" w:cs="Calibri" w:ascii="Arial Narrow" w:hAnsi="Arial Narrow"/>
          <w:b/>
          <w:color w:val="000000"/>
          <w:sz w:val="24"/>
          <w:szCs w:val="24"/>
          <w:lang w:eastAsia="es-AR"/>
        </w:rPr>
        <w:t>4. Fiscalización</w:t>
      </w:r>
      <w:r>
        <w:rPr>
          <w:rFonts w:eastAsia="Times New Roman" w:cs="Calibri" w:ascii="Arial Narrow" w:hAnsi="Arial Narrow"/>
          <w:color w:val="000000"/>
          <w:sz w:val="24"/>
          <w:szCs w:val="24"/>
          <w:lang w:eastAsia="es-AR"/>
        </w:rPr>
        <w:t>.</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Una de las reformas al proyecto originario, es establecer la necesidad de que las sociedades unipersonales cuenten con un régimen de fiscalización diferenciada de las mayorías de las sociedades anónimas.</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A mi modo de ver, la inclusión de organismos de control interno dentro de las sociedades -y, si se quiere, en general dentro de las personas jurídicas- resulta imprescindible, a pesar de que su funcionamiento práctico se haya "devaluado" en numerosas oportunidades. Nada hay de malo en reforzar los controles, máxime cuando se trata de una sociedad compuesta por una sola persona que, ni siquiera, puede contar con un debate interno con sus consocios, como ocurre en las sociedades pluripersonales.</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El mecanismo utilizado es el de incorporar a las sociedades unipersonales dentro de aquellas que posean fiscalización estatal permanente.</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A pesar de que para algunos autores esta exigencia puede parecer desmedida, estimo que el refuerzo de los controles societarios es una línea legislativa saludable, máxime cuando la experiencia ha demostrado que, en la materia, se han generado variados fraudes de distinta naturaleza. La práctica, finalmente, dará el resultado final de este recaudo pero, reitero, creo que se encuentra enderezada la normativa en la dirección adecuada.</w:t>
      </w:r>
    </w:p>
    <w:p>
      <w:pPr>
        <w:pStyle w:val="Normal"/>
        <w:shd w:val="clear" w:fill="FFFFFF"/>
        <w:bidi w:val="0"/>
        <w:spacing w:lineRule="auto" w:line="360" w:before="0" w:after="0"/>
        <w:jc w:val="start"/>
        <w:rPr>
          <w:rFonts w:ascii="Arial Narrow" w:hAnsi="Arial Narrow"/>
          <w:color w:val="000000"/>
          <w:sz w:val="24"/>
          <w:szCs w:val="24"/>
        </w:rPr>
      </w:pPr>
      <w:r>
        <w:rPr>
          <w:rFonts w:eastAsia="Times New Roman" w:cs="Calibri" w:ascii="Arial Narrow" w:hAnsi="Arial Narrow"/>
          <w:b/>
          <w:color w:val="000000"/>
          <w:sz w:val="24"/>
          <w:szCs w:val="24"/>
          <w:lang w:eastAsia="es-AR"/>
        </w:rPr>
        <w:t>5. Otras consecuencias que genera la introducción de la figura.</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La inclusión de las sociedades unipersonales en nuestro régimen provocó otras reformas conexas que ingresarán en vigencia a partir de la operatividad del Código Civil y Comercial.</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Una de las más importantes se relaciona con la disolución societaria por la reducción del número de socios a uno (antes se disolvía la sociedad cuando el nro de socios se reducía a uno).</w:t>
      </w:r>
    </w:p>
    <w:p>
      <w:pPr>
        <w:pStyle w:val="Normal"/>
        <w:shd w:val="clear" w:fill="FFFFFF"/>
        <w:bidi w:val="0"/>
        <w:spacing w:lineRule="auto" w:line="360" w:before="0" w:after="0"/>
        <w:jc w:val="both"/>
        <w:rPr/>
      </w:pPr>
      <w:r>
        <w:rPr>
          <w:rFonts w:eastAsia="Times New Roman" w:cs="Calibri" w:ascii="Arial Narrow" w:hAnsi="Arial Narrow"/>
          <w:color w:val="000000"/>
          <w:sz w:val="24"/>
          <w:szCs w:val="24"/>
          <w:lang w:eastAsia="es-AR"/>
        </w:rPr>
        <w:t>Se incorpora, mediante la reforma de la ley 26.994, un </w:t>
      </w:r>
      <w:r>
        <w:fldChar w:fldCharType="begin"/>
      </w:r>
      <w:r>
        <w:rPr>
          <w:rStyle w:val="Style5"/>
          <w:rFonts w:eastAsia="Times New Roman" w:cs="Calibri" w:ascii="Arial Narrow" w:hAnsi="Arial Narrow"/>
          <w:color w:val="000000"/>
          <w:sz w:val="24"/>
          <w:szCs w:val="24"/>
          <w:lang w:eastAsia="es-AR"/>
        </w:rPr>
        <w:instrText xml:space="preserve"> HYPERLINK "http://www.infojus.gob.ar/pablo-carlos-barbieri-sociedades-unipersonales-codigo-civil-comercial-dacf150286-2015-04-15/123456789-0abc-defg6820-51fcanirtcod" \l "CT007"</w:instrText>
      </w:r>
      <w:r>
        <w:rPr>
          <w:rStyle w:val="Style5"/>
          <w:rFonts w:eastAsia="Times New Roman" w:cs="Calibri" w:ascii="Arial Narrow" w:hAnsi="Arial Narrow"/>
          <w:color w:val="000000"/>
          <w:sz w:val="24"/>
          <w:szCs w:val="24"/>
          <w:lang w:eastAsia="es-AR"/>
        </w:rPr>
        <w:fldChar w:fldCharType="separate"/>
      </w:r>
      <w:r>
        <w:rPr>
          <w:rStyle w:val="Style5"/>
          <w:rFonts w:eastAsia="Times New Roman" w:cs="Calibri" w:ascii="Arial Narrow" w:hAnsi="Arial Narrow"/>
          <w:color w:val="000000"/>
          <w:sz w:val="24"/>
          <w:szCs w:val="24"/>
          <w:lang w:eastAsia="es-AR"/>
        </w:rPr>
        <w:t xml:space="preserve">artículo </w:t>
      </w:r>
      <w:r>
        <w:rPr>
          <w:rStyle w:val="Style5"/>
          <w:rFonts w:eastAsia="Times New Roman" w:cs="Calibri" w:ascii="Arial Narrow" w:hAnsi="Arial Narrow"/>
          <w:color w:val="000000"/>
          <w:sz w:val="24"/>
          <w:szCs w:val="24"/>
          <w:lang w:eastAsia="es-AR"/>
        </w:rPr>
        <w:fldChar w:fldCharType="end"/>
      </w:r>
      <w:r>
        <w:rPr>
          <w:rFonts w:eastAsia="Times New Roman" w:cs="Calibri" w:ascii="Arial Narrow" w:hAnsi="Arial Narrow"/>
          <w:color w:val="000000"/>
          <w:sz w:val="24"/>
          <w:szCs w:val="24"/>
          <w:lang w:eastAsia="es-AR"/>
        </w:rPr>
        <w:t> que, textualmente, preceptúa: "la reducción a uno del número de socios no es causal de disolución, imponiendo la transformación de pleno derecho de las sociedades en comandita, simple o por acciones, y de capital e industria, en sociedad anónima unipersonal, si no se decidiera otra solución en el término de tres meses".</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Las previsiones legales apuntan a determinados tipos societarios. Empero, coordinando y armonizando los textos legales, podemos llegar a la siguiente conclusión:</w:t>
      </w:r>
    </w:p>
    <w:p>
      <w:pPr>
        <w:pStyle w:val="Normal"/>
        <w:shd w:val="clear" w:fill="FFFFFF"/>
        <w:bidi w:val="0"/>
        <w:spacing w:lineRule="auto" w:line="360" w:before="0" w:after="0"/>
        <w:jc w:val="both"/>
        <w:rPr>
          <w:rFonts w:ascii="Arial Narrow" w:hAnsi="Arial Narrow"/>
          <w:color w:val="000000"/>
          <w:sz w:val="24"/>
          <w:szCs w:val="24"/>
        </w:rPr>
      </w:pPr>
      <w:r>
        <w:rPr>
          <w:rFonts w:eastAsia="Times New Roman" w:cs="Calibri" w:ascii="Arial Narrow" w:hAnsi="Arial Narrow"/>
          <w:color w:val="000000"/>
          <w:sz w:val="24"/>
          <w:szCs w:val="24"/>
          <w:lang w:eastAsia="es-AR"/>
        </w:rPr>
        <w:t>-La sociedad anónima "pluripersonal" en la que se reduce el número de socios a uno, pasa a regirse por las disposiciones de la anónima "unipersonal" (S.A.U.).</w:t>
      </w:r>
    </w:p>
    <w:p>
      <w:pPr>
        <w:pStyle w:val="Normal"/>
        <w:shd w:val="clear" w:fill="FFFFFF"/>
        <w:bidi w:val="0"/>
        <w:spacing w:lineRule="auto" w:line="360" w:before="0" w:after="0"/>
        <w:jc w:val="both"/>
        <w:rPr>
          <w:rFonts w:ascii="Arial Narrow" w:hAnsi="Arial Narrow"/>
          <w:b w:val="false"/>
          <w:bCs w:val="false"/>
          <w:color w:val="000000"/>
          <w:sz w:val="24"/>
          <w:szCs w:val="24"/>
        </w:rPr>
      </w:pPr>
      <w:r>
        <w:rPr>
          <w:rFonts w:eastAsia="Times New Roman" w:cs="Calibri" w:ascii="Arial Narrow" w:hAnsi="Arial Narrow"/>
          <w:b w:val="false"/>
          <w:bCs w:val="false"/>
          <w:color w:val="000000"/>
          <w:sz w:val="24"/>
          <w:szCs w:val="24"/>
          <w:lang w:eastAsia="es-AR"/>
        </w:rPr>
        <w:t>-En las sociedades en comandita y de capital e industria -en similar hipótesis- se produce una transformación de pleno derecho en sociedad anónima unipersonal, si es que no se resuelve una cuestión diferente en el lapso de tres meses.</w:t>
      </w:r>
    </w:p>
    <w:p>
      <w:pPr>
        <w:pStyle w:val="Normal"/>
        <w:shd w:val="clear" w:fill="FFFFFF"/>
        <w:bidi w:val="0"/>
        <w:spacing w:lineRule="auto" w:line="360" w:before="0" w:after="0"/>
        <w:jc w:val="both"/>
        <w:rPr>
          <w:rFonts w:ascii="Arial Narrow" w:hAnsi="Arial Narrow"/>
          <w:b w:val="false"/>
          <w:bCs w:val="false"/>
          <w:color w:val="000000"/>
          <w:sz w:val="24"/>
          <w:szCs w:val="24"/>
        </w:rPr>
      </w:pPr>
      <w:r>
        <w:rPr>
          <w:rFonts w:eastAsia="Times New Roman" w:cs="Calibri" w:ascii="Arial Narrow" w:hAnsi="Arial Narrow"/>
          <w:b w:val="false"/>
          <w:bCs w:val="false"/>
          <w:color w:val="000000"/>
          <w:sz w:val="24"/>
          <w:szCs w:val="24"/>
          <w:lang w:eastAsia="es-AR"/>
        </w:rPr>
        <w:t>-Si se trata de una sociedad de responsabilidad limitada o de una colectiva, no se contempla solución expresa por lo cual, a mi entender, continúan con dicho tipo social pero con un solo socio.</w:t>
      </w:r>
    </w:p>
    <w:p>
      <w:pPr>
        <w:pStyle w:val="Normal"/>
        <w:shd w:val="clear" w:fill="FFFFFF"/>
        <w:bidi w:val="0"/>
        <w:spacing w:lineRule="auto" w:line="360" w:before="0" w:after="0"/>
        <w:jc w:val="both"/>
        <w:rPr>
          <w:rFonts w:ascii="Arial Narrow" w:hAnsi="Arial Narrow" w:eastAsia="Times New Roman" w:cs="Calibri"/>
          <w:b/>
          <w:bCs/>
          <w:color w:val="000000"/>
          <w:sz w:val="24"/>
          <w:szCs w:val="24"/>
          <w:lang w:eastAsia="es-AR"/>
        </w:rPr>
      </w:pPr>
      <w:r>
        <w:rPr>
          <w:rFonts w:eastAsia="Times New Roman" w:cs="Calibri" w:ascii="Arial Narrow" w:hAnsi="Arial Narrow"/>
          <w:b/>
          <w:bCs/>
          <w:color w:val="000000"/>
          <w:sz w:val="24"/>
          <w:szCs w:val="24"/>
          <w:lang w:eastAsia="es-AR"/>
        </w:rPr>
      </w:r>
    </w:p>
    <w:p>
      <w:pPr>
        <w:pStyle w:val="Normal"/>
        <w:shd w:val="clear" w:fill="FFFFFF"/>
        <w:bidi w:val="0"/>
        <w:spacing w:lineRule="auto" w:line="360" w:before="0" w:after="0"/>
        <w:jc w:val="center"/>
        <w:rPr>
          <w:rFonts w:ascii="Arial Narrow" w:hAnsi="Arial Narrow" w:eastAsia="Times New Roman" w:cs="Calibri"/>
          <w:b/>
          <w:bCs/>
          <w:caps/>
          <w:color w:val="000000"/>
          <w:kern w:val="2"/>
          <w:sz w:val="24"/>
          <w:szCs w:val="24"/>
          <w:u w:val="single"/>
          <w:lang w:eastAsia="es-AR"/>
        </w:rPr>
      </w:pPr>
      <w:r>
        <w:rPr>
          <w:rFonts w:eastAsia="Times New Roman" w:cs="Calibri" w:ascii="Arial Narrow" w:hAnsi="Arial Narrow"/>
          <w:b/>
          <w:bCs/>
          <w:caps/>
          <w:color w:val="000000"/>
          <w:kern w:val="2"/>
          <w:sz w:val="24"/>
          <w:szCs w:val="24"/>
          <w:u w:val="single"/>
          <w:lang w:eastAsia="es-AR"/>
        </w:rPr>
        <w:t>CUADRO COMPARATIVO</w:t>
      </w:r>
    </w:p>
    <w:p>
      <w:pPr>
        <w:pStyle w:val="Normal"/>
        <w:shd w:val="clear" w:fill="FFFFFF"/>
        <w:bidi w:val="0"/>
        <w:spacing w:lineRule="auto" w:line="360" w:before="0" w:after="0"/>
        <w:jc w:val="both"/>
        <w:rPr>
          <w:rFonts w:ascii="Arial Narrow" w:hAnsi="Arial Narrow" w:eastAsia="Times New Roman" w:cs="Calibri"/>
          <w:b/>
          <w:bCs/>
          <w:color w:val="000000"/>
          <w:sz w:val="24"/>
          <w:szCs w:val="24"/>
          <w:lang w:eastAsia="es-AR"/>
        </w:rPr>
      </w:pPr>
      <w:r>
        <w:rPr>
          <w:rFonts w:eastAsia="Times New Roman" w:cs="Calibri" w:ascii="Arial Narrow" w:hAnsi="Arial Narrow"/>
          <w:b/>
          <w:bCs/>
          <w:color w:val="000000"/>
          <w:sz w:val="24"/>
          <w:szCs w:val="24"/>
          <w:lang w:eastAsia="es-AR"/>
        </w:rPr>
      </w:r>
    </w:p>
    <w:tbl>
      <w:tblPr>
        <w:tblW w:w="9638" w:type="dxa"/>
        <w:jc w:val="start"/>
        <w:tblInd w:w="0" w:type="dxa"/>
        <w:tblLayout w:type="fixed"/>
        <w:tblCellMar>
          <w:top w:w="28" w:type="dxa"/>
          <w:start w:w="28" w:type="dxa"/>
          <w:bottom w:w="28" w:type="dxa"/>
          <w:end w:w="28" w:type="dxa"/>
        </w:tblCellMar>
      </w:tblPr>
      <w:tblGrid>
        <w:gridCol w:w="1975"/>
        <w:gridCol w:w="2585"/>
        <w:gridCol w:w="2353"/>
        <w:gridCol w:w="2725"/>
      </w:tblGrid>
      <w:tr>
        <w:trPr>
          <w:tblHeader w:val="true"/>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Heading"/>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ASPECTO</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Heading"/>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SAS (Sociedad por Acciones Simplificada)</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Heading"/>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SA (Sociedad Anónima)</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Heading"/>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SRL (Sociedad de Responsabilidad Limitada)</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Normativa principal</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Ley Nº 27.349, artículos 33 a 70 (Ley de Apoyo al Capital Emprendedor)</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Ley General de Sociedades Nº 19.550, artículos 163 a 307</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Ley General de Sociedades Nº 19.550, artículos 146 a 158</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Cantidad mínima de socios</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1 o más socios (puede ser unipersonal) – Art. 34,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2 o más socios (SA unipersonal: Art. 164,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2 a 50 socios – Art. 146,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Responsabilidad de los socios</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Limitada al capital aportado – Art. 33,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Limitada al capital suscripto – Art. 163,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Limitada al capital aportado – Art. 146,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Capital mínimo exigido</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2 veces el Salario Mínimo Vital y Móvil – Art. 40,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30 millones de pesos– Art. 186,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Sin monto mínimo legal – Art. 148,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Forma de constitución</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Instrumento privado con firma digital o electrónica – Art. 35,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Escritura pública ante escribano – Art. 165,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Escritura pública ante escribano – Art. 148,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Inscripción y registro</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En la Dirección de Personas Jurídicas que corresponda según la provincia – Art. 35,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En la Dirección de Personas Jurídicas que corresponda según la provincia – Art. 167,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En la Dirección de Personas Jurídicas que corresponda según la provincia – Art. 147,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Aportes de capital</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Efectivo, bienes o activos intangibles – Art. 40,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Efectivo o especie, valuado conforme a Art. 187,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Efectivo o especie, valuado conforme a Art. 150,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Administración y gestión</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Uno o más administradores, designados en el estatuto – Art. 50,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Directorio (mínimo 3 miembros) y sindicatura obligatoria según capital – Arts. 255 y 284,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Uno o más gerentes – Art. 157,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Reuniones de socios</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Presenciales o virtuales, según el estatuto – Art. 53,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Asambleas ordinarias y extraordinarias – Arts. 233 a 251,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Reuniones de socios o actas – Art. 158,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Fiscalización obligatoria</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No obligatoria,– Art. 54,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Sí, mediante síndico o comisión fiscalizadora – Arts. 284 a 303,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No obligatoria – Art. 158,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Flexibilidad estatutaria</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Alta: libre configuración estatutaria – Art. 36,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Media: sujeta a requisitos legales formales – Arts. 165 a 167,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Media-alta: adaptable con límites – Art. 148,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Trámite y aprobación</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Procedimiento ágil y simplificado – Art. 35,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Procedimiento formal y más extenso – Art. 167,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Procedimiento intermedio – Art. 147,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Costo de constitución</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Bajo – por no requerir escritura pública (Art. 35,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Alto – honorarios notariales y publicación obligatoria (Art. 167,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Medio – requiere escritura pública (Art. 148,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Obligaciones contables</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Libros digitales y presentación anual – Art. 57,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Contabilidad completa y auditorías – Arts. 61 a 63,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Contabilidad completa – Art. 157,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Apertura a nuevos socios o inversores</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Alta: emisión y transferencia de acciones – Art. 45,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Alta: libre transferencia de acciones – Art. 215,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Limitada: cesión de cuotas requiere aprobación – Art. 152,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Acceso a financiamiento</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Alto: elegible para programas PyME – Art. 61, Ley 27.349</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Alto, especialmente para grandes sociedades – Art. 186, Ley 19.550</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Moderado, según estructura – Art. 150, Ley 19.550</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Uso recomendado</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Emprendimientos, startups, PYMEs tecnológicas y unipersonales</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Grandes empresas, sociedades de inversión, compañías con múltiples accionistas</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PYMEs tradicionales, negocios familiares, empresas medianas</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Ventajas clave</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Simplicidad, bajo costo, posibilidad de un solo socio, digitalización</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Formalidad, prestigio, acceso a capitales e inversores</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Estructura conocida, menor formalidad, administración simple</w:t>
            </w:r>
          </w:p>
        </w:tc>
      </w:tr>
      <w:tr>
        <w:trPr/>
        <w:tc>
          <w:tcPr>
            <w:tcW w:w="197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pPr>
            <w:r>
              <w:rPr>
                <w:rStyle w:val="Strong"/>
                <w:rFonts w:ascii="Arial Narrow" w:hAnsi="Arial Narrow"/>
                <w:b/>
                <w:bCs/>
                <w:strike w:val="false"/>
                <w:dstrike w:val="false"/>
                <w:color w:val="000000"/>
                <w:sz w:val="24"/>
                <w:szCs w:val="24"/>
                <w:u w:val="none"/>
                <w:effect w:val="none"/>
              </w:rPr>
              <w:t>Desventajas clave</w:t>
            </w:r>
          </w:p>
        </w:tc>
        <w:tc>
          <w:tcPr>
            <w:tcW w:w="258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Exige mantenimiento digital y cumplimiento normativo continuo</w:t>
            </w:r>
          </w:p>
        </w:tc>
        <w:tc>
          <w:tcPr>
            <w:tcW w:w="2353"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ind w:hanging="0" w:start="0" w:end="0"/>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Costosa y burocrática para pequeñas empresas</w:t>
            </w:r>
          </w:p>
        </w:tc>
        <w:tc>
          <w:tcPr>
            <w:tcW w:w="2725" w:type="dxa"/>
            <w:tcBorders>
              <w:top w:val="single" w:sz="2" w:space="0" w:color="000000"/>
              <w:start w:val="single" w:sz="2" w:space="0" w:color="000000"/>
              <w:bottom w:val="single" w:sz="2" w:space="0" w:color="000000"/>
              <w:end w:val="single" w:sz="2" w:space="0" w:color="000000"/>
            </w:tcBorders>
            <w:shd w:fill="FFFFFF" w:val="clear"/>
            <w:vAlign w:val="center"/>
          </w:tcPr>
          <w:p>
            <w:pPr>
              <w:pStyle w:val="TableContents"/>
              <w:jc w:val="center"/>
              <w:rPr>
                <w:rFonts w:ascii="Arial Narrow" w:hAnsi="Arial Narrow"/>
                <w:b/>
                <w:bCs/>
                <w:strike w:val="false"/>
                <w:dstrike w:val="false"/>
                <w:color w:val="000000"/>
                <w:sz w:val="24"/>
                <w:szCs w:val="24"/>
                <w:u w:val="none"/>
                <w:effect w:val="none"/>
              </w:rPr>
            </w:pPr>
            <w:r>
              <w:rPr>
                <w:rFonts w:ascii="Arial Narrow" w:hAnsi="Arial Narrow"/>
                <w:b/>
                <w:bCs/>
                <w:strike w:val="false"/>
                <w:dstrike w:val="false"/>
                <w:color w:val="000000"/>
                <w:sz w:val="24"/>
                <w:szCs w:val="24"/>
                <w:u w:val="none"/>
                <w:effect w:val="none"/>
              </w:rPr>
              <w:t>Limitada para captar inversiones o expandirse internacionalmente</w:t>
            </w:r>
          </w:p>
        </w:tc>
      </w:tr>
    </w:tbl>
    <w:p>
      <w:pPr>
        <w:pStyle w:val="Normal"/>
        <w:shd w:val="clear" w:fill="FFFFFF"/>
        <w:bidi w:val="0"/>
        <w:spacing w:lineRule="auto" w:line="360" w:before="0" w:after="0"/>
        <w:jc w:val="both"/>
        <w:rPr>
          <w:rFonts w:ascii="Arial Narrow" w:hAnsi="Arial Narrow" w:eastAsia="Times New Roman" w:cs="Calibri"/>
          <w:b/>
          <w:bCs/>
          <w:color w:val="000000"/>
          <w:sz w:val="24"/>
          <w:szCs w:val="24"/>
          <w:lang w:eastAsia="es-AR"/>
        </w:rPr>
      </w:pPr>
      <w:r>
        <w:rPr>
          <w:rFonts w:eastAsia="Times New Roman" w:cs="Calibri" w:ascii="Arial Narrow" w:hAnsi="Arial Narrow"/>
          <w:b/>
          <w:bCs/>
          <w:color w:val="000000"/>
          <w:sz w:val="24"/>
          <w:szCs w:val="24"/>
          <w:lang w:eastAsia="es-AR"/>
        </w:rPr>
      </w:r>
    </w:p>
    <w:p>
      <w:pPr>
        <w:pStyle w:val="Normal"/>
        <w:shd w:val="clear" w:fill="FFFFFF"/>
        <w:bidi w:val="0"/>
        <w:spacing w:lineRule="auto" w:line="360" w:before="0" w:after="0"/>
        <w:jc w:val="both"/>
        <w:rPr>
          <w:rFonts w:ascii="Arial Narrow" w:hAnsi="Arial Narrow" w:eastAsia="Times New Roman" w:cs="Calibri"/>
          <w:b/>
          <w:bCs/>
          <w:color w:val="000000"/>
          <w:sz w:val="24"/>
          <w:szCs w:val="24"/>
          <w:lang w:eastAsia="es-AR"/>
        </w:rPr>
      </w:pPr>
      <w:r>
        <w:rPr>
          <w:rFonts w:eastAsia="Times New Roman" w:cs="Calibri" w:ascii="Arial Narrow" w:hAnsi="Arial Narrow"/>
          <w:b/>
          <w:bCs/>
          <w:color w:val="000000"/>
          <w:sz w:val="24"/>
          <w:szCs w:val="24"/>
          <w:lang w:eastAsia="es-AR"/>
        </w:rPr>
      </w:r>
    </w:p>
    <w:p>
      <w:pPr>
        <w:pStyle w:val="Normal"/>
        <w:shd w:val="clear" w:fill="FFFFFF"/>
        <w:bidi w:val="0"/>
        <w:spacing w:lineRule="auto" w:line="360" w:before="0" w:after="0"/>
        <w:jc w:val="center"/>
        <w:rPr>
          <w:rFonts w:ascii="Arial Narrow" w:hAnsi="Arial Narrow" w:eastAsia="Times New Roman" w:cs="Calibri"/>
          <w:b/>
          <w:bCs/>
          <w:color w:val="000000"/>
          <w:sz w:val="24"/>
          <w:szCs w:val="24"/>
          <w:u w:val="single"/>
          <w:lang w:eastAsia="es-AR"/>
        </w:rPr>
      </w:pPr>
      <w:r>
        <w:rPr>
          <w:rFonts w:eastAsia="Times New Roman" w:cs="Calibri" w:ascii="Arial Narrow" w:hAnsi="Arial Narrow"/>
          <w:b/>
          <w:bCs/>
          <w:color w:val="000000"/>
          <w:sz w:val="24"/>
          <w:szCs w:val="24"/>
          <w:u w:val="single"/>
          <w:lang w:eastAsia="es-AR"/>
        </w:rPr>
        <w:t>DISOLUCIÓN Y LIQUIDACIÓN DE SOCIEDADES</w:t>
      </w:r>
    </w:p>
    <w:p>
      <w:pPr>
        <w:pStyle w:val="Normal"/>
        <w:shd w:val="clear" w:fill="FFFFFF"/>
        <w:bidi w:val="0"/>
        <w:spacing w:lineRule="auto" w:line="360" w:before="0" w:after="0"/>
        <w:jc w:val="center"/>
        <w:rPr>
          <w:rFonts w:ascii="Arial Narrow" w:hAnsi="Arial Narrow" w:eastAsia="Times New Roman" w:cs="Calibri"/>
          <w:b/>
          <w:bCs/>
          <w:color w:val="000000"/>
          <w:sz w:val="24"/>
          <w:szCs w:val="24"/>
          <w:u w:val="single"/>
          <w:lang w:eastAsia="es-AR"/>
        </w:rPr>
      </w:pPr>
      <w:r>
        <w:rPr>
          <w:rFonts w:eastAsia="Times New Roman" w:cs="Calibri" w:ascii="Arial Narrow" w:hAnsi="Arial Narrow"/>
          <w:b/>
          <w:bCs/>
          <w:color w:val="000000"/>
          <w:sz w:val="24"/>
          <w:szCs w:val="24"/>
          <w:u w:val="single"/>
          <w:lang w:eastAsia="es-AR"/>
        </w:rPr>
      </w:r>
    </w:p>
    <w:p>
      <w:pPr>
        <w:pStyle w:val="BodyText"/>
        <w:shd w:val="clear" w:fill="FFFFFF"/>
        <w:bidi w:val="0"/>
        <w:spacing w:lineRule="auto" w:line="360" w:before="0" w:after="0"/>
        <w:jc w:val="both"/>
        <w:rPr/>
      </w:pPr>
      <w:r>
        <w:rPr>
          <w:rFonts w:eastAsia="Times New Roman" w:cs="Calibri" w:ascii="Arial Narrow" w:hAnsi="Arial Narrow"/>
          <w:b w:val="false"/>
          <w:bCs w:val="false"/>
          <w:i w:val="false"/>
          <w:caps w:val="false"/>
          <w:smallCaps w:val="false"/>
          <w:color w:val="000000"/>
          <w:spacing w:val="0"/>
          <w:sz w:val="24"/>
          <w:szCs w:val="24"/>
          <w:lang w:eastAsia="es-AR"/>
        </w:rPr>
        <w:t>La disolución de una sociedad es el acto jurídico en el cual los socios deciden la extinción de la empresa societaria mediante instrumento público o privado.  Sin embargo la sociedad no se extingue en este momento, sino que continua funcionando bajo la modalidad “en liquidación” designando un liquidador para llevar a cabo la cancelación de los pasivos, y una vez que cumple con la totalidad de sus deudas se distribuye a los socios el activo remanente según la participación que posea cada uno, para así proceder a la cancelación de la inscripción de la sociedad que determinará el final de la misma.</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u w:val="single"/>
        </w:rPr>
      </w:pPr>
      <w:r>
        <w:rPr>
          <w:rFonts w:eastAsia="Times New Roman" w:cs="Calibri" w:ascii="Arial Narrow" w:hAnsi="Arial Narrow"/>
          <w:b w:val="false"/>
          <w:bCs w:val="false"/>
          <w:i w:val="false"/>
          <w:caps w:val="false"/>
          <w:smallCaps w:val="false"/>
          <w:color w:val="000000"/>
          <w:spacing w:val="0"/>
          <w:sz w:val="24"/>
          <w:szCs w:val="24"/>
          <w:u w:val="single"/>
          <w:lang w:eastAsia="es-AR"/>
        </w:rPr>
        <w:t>Las causales de disolución se encuentran tipificadas en el art. 94 de la Ley 19.550 y son:</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1) Por decisión de los socios.</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2) Por expiración del término por el cual se constituyó.</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3) Por cumplimiento de la condición a la que se subordinó su existencia.</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4) Por consecución del objeto por el cual se formó, o por la imposibilidad sobreviniente de lograrlo.</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5) Por pérdida de capital social (causal suspendida hasta el 31/12/2020 por art. 59 Ley 27.541).</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6) Por declaración en quiebra.  La disolución quedará sin efecto si se celebrare avenimiento o concordato resolutorio.</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7) Por su fusión en los términos del art. 82 Ley General de Sociedades.</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8) Por sanción firme de cancelación de oferta pública o de la cotización de sus acciones.  La disolución podrá quedar sin efecto por resolución de asamblea extraordinaria reunida dentro de los 60 días de acuerdo con el art. 244, 4° párrafo Ley 19.550.</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9) Por resolución firme de retiro de la autorización para funcionar cuando leyes especiales la impusieren en razón del objeto.</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En el caso de sociedades en comandita (simple o por acciones), de capital e industria y sociedad anónima cuya cantidad de socios se reduzca a uno, no es causal de disolución, sino que deberán transformarse de pleno derecho en sociedad anónima unipersonal en el término de tres meses, salvo que los socios decidieran otra solución.  En el caso de sociedades de responsabilidad limitada, la Ley General de Sociedad no trata este tema, por lo que, aplicando el art. 89 de la citada ley,  se podrá incorporar una cláusula al contrato estatutario para determinar la decisión de sus socios ante la reducción a un solo socio, como ser la disolución de sociedad o la transformación en una sociedad anónima unipersonal.</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La disolución de la sociedad deberá ser inscripta en el Registro Público, según el procedimiento establecido en el art. 191 de la Resolución General I.G.J. N° 7/2015, mediante instrumento público o privado de la asamblea o reunión de socios que resolvió la disolución de la sociedad.  También se deberá publicar en el boletín oficial lo resuelto, entre otros requisitos.</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Una vez disuelta, la sociedad conserva su personalidad jurídica y continuará funcionando empleando su razón social con el aditamento “en liquidación” y el órgano de administración será el responsable de liquidar la misma, salvo casos especiales o pacto en contrario. </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La designación del liquidador o liquidadores se llevará a cabo en el plazo de treinta días de haber comenzado la etapa de liquidación, en caso de no ser designado o si éstos no desempeñaren el cargo, cualquier socio puede solicitar al juez el nombramiento omitido o nueva elección. Esta designación deberá ser inscripta en el Registro Público.</w:t>
      </w:r>
    </w:p>
    <w:p>
      <w:pPr>
        <w:pStyle w:val="BodyText"/>
        <w:widowControl/>
        <w:shd w:val="clear" w:fill="FFFFFF"/>
        <w:spacing w:lineRule="atLeast" w:line="330" w:before="0" w:after="0"/>
        <w:ind w:hanging="0" w:start="0" w:end="0"/>
        <w:jc w:val="both"/>
        <w:rPr>
          <w:rFonts w:ascii="Arial Narrow" w:hAnsi="Arial Narrow" w:eastAsia="Times New Roman" w:cs="Calibri"/>
          <w:b/>
          <w:bCs/>
          <w:color w:val="000000"/>
          <w:sz w:val="24"/>
          <w:szCs w:val="24"/>
          <w:lang w:eastAsia="es-AR"/>
        </w:rPr>
      </w:pPr>
      <w:r>
        <w:rPr>
          <w:rFonts w:eastAsia="Times New Roman" w:cs="Calibri" w:ascii="Arial Narrow" w:hAnsi="Arial Narrow"/>
          <w:b/>
          <w:bCs/>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El liquidador deberá:</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Elaborar un inventario y balance del patrimonio social dentro de los treinta días de asumido el cargo.</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Informar a los socios (y a la sindicatura, si lo hubiere) sobre el estado de la liquidación con una frecuencia trimestral como mínimo.</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Confeccionar balances anuales hasta finalizar la etapa de liquidación.</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Confeccionar balance final y el proyecto de distribución, una vez cancelado la totalidad del pasivo social.</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Entre otras funciones.</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Características del Balance final y proyecto de distribución:</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El monto total del pasivo debe ser de cero pesos. En el caso que los fondos sociales fueran insuficientes para satisfacer las deudas, los liquidadores están obligados a exigir a los socios las contribuciones debidas de acuerdo con el tipo societario o del contrato constitutivo.</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El activo total debe ser positivo mayor a cero pesos.</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El balance final deberá contener informe de auditoría con opinión.</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Será comunicado a los socios (y a la sindicatura, si lo hubiere), quienes gozaran un plazo de 15 días para su impugnación.</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xml:space="preserve">• </w:t>
      </w:r>
      <w:r>
        <w:rPr>
          <w:rFonts w:eastAsia="Times New Roman" w:cs="Calibri" w:ascii="Arial Narrow" w:hAnsi="Arial Narrow"/>
          <w:b w:val="false"/>
          <w:bCs w:val="false"/>
          <w:i w:val="false"/>
          <w:caps w:val="false"/>
          <w:smallCaps w:val="false"/>
          <w:color w:val="000000"/>
          <w:spacing w:val="0"/>
          <w:sz w:val="24"/>
          <w:szCs w:val="24"/>
          <w:lang w:eastAsia="es-AR"/>
        </w:rPr>
        <w:t>Deberá ser aprobado en asamblea o reunión de socios.</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Una vez aprobado el balance final y proyecto de distribución, se procede al cierre de los libros rubricados designando responsable de quien conservara los mismos, y se deberá inscribir la liquidación y cancelación de la inscripción de la sociedad en el Registro Público según el procedimiento establecido en el art. 192 de la Resolución General I.G.J. N° 7/2015, mediante instrumento público o privado de la asamblea o reunión de socios que aprobó el citado balance y proyecto de distribución, constancia de cese de actividades en el Impuesto a los Ingresos Brutos ante la Dirección General de Rentas (previa baja de impuestos en A.F.I.P.), certificado de que la sociedad no se encuentra inhibida para disponer o gravar sus bienes, dictamen legal emitido por Abogado o Escribano, dictamen contable emitido por Contador Público, entre otros requisitos. </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aps w:val="false"/>
          <w:smallCaps w:val="false"/>
          <w:color w:val="000000"/>
          <w:spacing w:val="0"/>
          <w:sz w:val="24"/>
          <w:szCs w:val="24"/>
          <w:lang w:eastAsia="es-AR"/>
        </w:rPr>
      </w:pPr>
      <w:r>
        <w:rPr>
          <w:rFonts w:eastAsia="Times New Roman" w:cs="Calibri" w:ascii="Arial Narrow" w:hAnsi="Arial Narrow"/>
          <w:b w:val="false"/>
          <w:bCs w:val="false"/>
          <w:caps w:val="false"/>
          <w:smallCaps w:val="false"/>
          <w:color w:val="000000"/>
          <w:spacing w:val="0"/>
          <w:sz w:val="24"/>
          <w:szCs w:val="24"/>
          <w:lang w:eastAsia="es-AR"/>
        </w:rPr>
        <w:t> </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En el caso de una disolución, liquidación y cancelación de inscripción de una S.A.S., el trámite de inscripción de este acto jurídico se llevará a cabo a través del “T.A.D.” (Trámites a distancia), según las pautas normadas en los arts. 4, 6 y 9 de la Resolución General I.G.J. N° 6/2017.</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En el caso de una Sociedad Sección IV (como ser Sociedad de Hecho o Sociedad Simple), cualquier socio puede provocar la disolución de la sociedad cuando no media estipulación escrita del pacto de duración, notificando fehacientemente tal decisión a todos los socios, sus efectos se producirán de pleno derecho entre los socios a los 90 días de la última notificación.  En caso que los demás socios quieran continuar con la sociedad, deben pagar a los salientes su parte social.  La Inspección General de Justicia prevee un trámite de inscripción de la disolución societaria más sencillo, que implica presentar el instrumento público o privado en el cual se resuelve la disolución, dictamen de precalificación legal, publicación en boletín oficial, pago de timbrado I.G.J.  Este trámite solo implica la inscripción de la disolución, se aclara que no comprende inscripción de la liquidación y cancelación de inscripción societaria, para ello la sociedad sección IV deberá subsanarse en uno de los tipos societarios regulados por la Ley 19.550 para así proceder a la disolución, liquidación y cancelación de la inscripción de la sociedad con el nuevo tipo societario adoptado.</w:t>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color w:val="000000"/>
          <w:sz w:val="24"/>
          <w:szCs w:val="24"/>
          <w:lang w:eastAsia="es-AR"/>
        </w:rPr>
      </w:pPr>
      <w:r>
        <w:rPr>
          <w:rFonts w:eastAsia="Times New Roman" w:cs="Calibri" w:ascii="Arial Narrow" w:hAnsi="Arial Narrow"/>
          <w:b w:val="false"/>
          <w:bCs w:val="false"/>
          <w:color w:val="000000"/>
          <w:sz w:val="24"/>
          <w:szCs w:val="24"/>
          <w:lang w:eastAsia="es-AR"/>
        </w:rPr>
      </w:r>
    </w:p>
    <w:p>
      <w:pPr>
        <w:pStyle w:val="BodyText"/>
        <w:widowControl/>
        <w:shd w:val="clear" w:fill="FFFFFF"/>
        <w:spacing w:lineRule="atLeast" w:line="330" w:before="0" w:after="0"/>
        <w:ind w:hanging="0" w:start="0" w:end="0"/>
        <w:jc w:val="both"/>
        <w:rPr>
          <w:rFonts w:ascii="Arial Narrow" w:hAnsi="Arial Narrow" w:eastAsia="Times New Roman" w:cs="Calibri"/>
          <w:b w:val="false"/>
          <w:bCs w:val="false"/>
          <w:i w:val="false"/>
          <w:caps w:val="false"/>
          <w:smallCaps w:val="false"/>
          <w:color w:val="000000"/>
          <w:spacing w:val="0"/>
          <w:sz w:val="24"/>
          <w:szCs w:val="24"/>
          <w:lang w:eastAsia="es-AR"/>
        </w:rPr>
      </w:pPr>
      <w:r>
        <w:rPr>
          <w:rFonts w:eastAsia="Times New Roman" w:cs="Calibri" w:ascii="Arial Narrow" w:hAnsi="Arial Narrow"/>
          <w:b w:val="false"/>
          <w:bCs w:val="false"/>
          <w:i w:val="false"/>
          <w:caps w:val="false"/>
          <w:smallCaps w:val="false"/>
          <w:color w:val="000000"/>
          <w:spacing w:val="0"/>
          <w:sz w:val="24"/>
          <w:szCs w:val="24"/>
          <w:lang w:eastAsia="es-AR"/>
        </w:rPr>
        <w:t>En cualquier tipo societario, el instrumento en el cual los socios deciden disolver tiene efectos solo para las partes, pero para terceros la sociedad continua vigente, y por ende los miembros del órgano de administración, gobierno y sindicatura (si lo hubiere) responden por las obligaciones legales que les corresponde durante la vigencia de la sociedad.  Para que la sociedad se considere disuelta, liquidada y cancelada su inscripción es que se requiere cumplir con la inscripción de estos actos jurídicos en el Registro Público, por lo que este trámite es muy importante para dar un final digno a la sociedad, dando cumplimiento a las deudas contraídas con sus acreedores, distribuir a los socios el activo remanente y finalizar la operatoria de la entidad para no generar nuevas responsabilidades de los miembros de los órganos societarios citados. </w:t>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ascii="Arial Narrow" w:hAnsi="Arial Narrow" w:eastAsia="Times New Roman" w:cs="Calibri"/>
          <w:color w:val="000000"/>
          <w:sz w:val="24"/>
          <w:szCs w:val="24"/>
          <w:lang w:eastAsia="es-AR"/>
        </w:rPr>
      </w:pPr>
      <w:r>
        <w:rPr>
          <w:rFonts w:eastAsia="Times New Roman" w:cs="Calibri" w:ascii="Arial Narrow" w:hAnsi="Arial Narrow"/>
          <w:color w:val="000000"/>
          <w:sz w:val="24"/>
          <w:szCs w:val="24"/>
          <w:lang w:eastAsia="es-AR"/>
        </w:rPr>
      </w:r>
    </w:p>
    <w:p>
      <w:pPr>
        <w:pStyle w:val="Normal"/>
        <w:shd w:val="clear" w:fill="FFFFFF"/>
        <w:bidi w:val="0"/>
        <w:spacing w:lineRule="auto" w:line="360" w:before="0" w:after="0"/>
        <w:jc w:val="start"/>
        <w:rPr>
          <w:rFonts w:cs="Calibri"/>
          <w:bCs/>
          <w:i/>
          <w:iCs/>
          <w:kern w:val="2"/>
          <w:lang w:eastAsia="es-AR"/>
        </w:rPr>
      </w:pPr>
      <w:r>
        <w:rPr>
          <w:rFonts w:cs="Calibri"/>
          <w:bCs/>
          <w:i/>
          <w:iCs/>
          <w:kern w:val="2"/>
          <w:lang w:eastAsia="es-AR"/>
        </w:rPr>
      </w:r>
    </w:p>
    <w:p>
      <w:pPr>
        <w:pStyle w:val="Normal"/>
        <w:bidi w:val="0"/>
        <w:spacing w:lineRule="auto" w:line="240" w:before="0" w:after="0"/>
        <w:jc w:val="both"/>
        <w:rPr>
          <w:b/>
          <w:bCs/>
          <w:kern w:val="2"/>
          <w:lang w:eastAsia="es-AR"/>
        </w:rPr>
      </w:pPr>
      <w:r>
        <w:rPr>
          <w:b/>
          <w:bCs/>
          <w:kern w:val="2"/>
          <w:lang w:eastAsia="es-AR"/>
        </w:rPr>
      </w:r>
    </w:p>
    <w:p>
      <w:pPr>
        <w:pStyle w:val="Normal"/>
        <w:bidi w:val="0"/>
        <w:spacing w:lineRule="auto" w:line="240" w:before="0" w:after="0"/>
        <w:jc w:val="both"/>
        <w:rPr>
          <w:kern w:val="2"/>
          <w:lang w:eastAsia="es-AR"/>
        </w:rPr>
      </w:pPr>
      <w:r>
        <w:rPr>
          <w:kern w:val="2"/>
          <w:lang w:eastAsia="es-AR"/>
        </w:rPr>
      </w:r>
    </w:p>
    <w:p>
      <w:pPr>
        <w:pStyle w:val="Normal"/>
        <w:bidi w:val="0"/>
        <w:spacing w:lineRule="auto" w:line="360" w:before="0" w:after="0"/>
        <w:jc w:val="both"/>
        <w:rPr>
          <w:rFonts w:ascii="Arial Narrow" w:hAnsi="Arial Narrow"/>
          <w:b/>
          <w:bCs/>
          <w:color w:val="000000"/>
          <w:kern w:val="2"/>
          <w:sz w:val="24"/>
          <w:szCs w:val="24"/>
          <w:lang w:eastAsia="es-AR"/>
        </w:rPr>
      </w:pPr>
      <w:r>
        <w:rPr>
          <w:rFonts w:ascii="Arial Narrow" w:hAnsi="Arial Narrow"/>
          <w:b/>
          <w:bCs/>
          <w:color w:val="000000"/>
          <w:kern w:val="2"/>
          <w:sz w:val="24"/>
          <w:szCs w:val="24"/>
          <w:lang w:eastAsia="es-AR"/>
        </w:rPr>
      </w:r>
    </w:p>
    <w:p>
      <w:pPr>
        <w:pStyle w:val="Normal"/>
        <w:bidi w:val="0"/>
        <w:spacing w:lineRule="auto" w:line="240" w:before="0" w:after="0"/>
        <w:jc w:val="center"/>
        <w:rPr>
          <w:b/>
          <w:bCs/>
          <w:kern w:val="2"/>
          <w:u w:val="single"/>
          <w:lang w:val="es-ES_tradnl" w:eastAsia="es-AR"/>
        </w:rPr>
      </w:pPr>
      <w:r>
        <w:rPr>
          <w:b/>
          <w:bCs/>
          <w:kern w:val="2"/>
          <w:u w:val="single"/>
          <w:lang w:val="es-ES_tradnl" w:eastAsia="es-AR"/>
        </w:rPr>
      </w:r>
    </w:p>
    <w:p>
      <w:pPr>
        <w:pStyle w:val="Normal"/>
        <w:bidi w:val="0"/>
        <w:spacing w:lineRule="auto" w:line="240" w:before="0" w:after="0"/>
        <w:jc w:val="start"/>
        <w:rPr>
          <w:b/>
          <w:bCs/>
          <w:kern w:val="2"/>
          <w:lang w:val="es-ES_tradnl" w:eastAsia="es-AR"/>
        </w:rPr>
      </w:pPr>
      <w:r>
        <w:rPr>
          <w:b/>
          <w:bCs/>
          <w:kern w:val="2"/>
          <w:lang w:val="es-ES_tradnl" w:eastAsia="es-AR"/>
        </w:rPr>
      </w:r>
    </w:p>
    <w:sectPr>
      <w:footerReference w:type="even" r:id="rId2"/>
      <w:footerReference w:type="default" r:id="rId3"/>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Comic Sans MS">
    <w:charset w:val="01" w:characterSet="utf-8"/>
    <w:family w:val="roman"/>
    <w:pitch w:val="variable"/>
  </w:font>
  <w:font w:name="Courier New">
    <w:charset w:val="01" w:characterSet="utf-8"/>
    <w:family w:val="roman"/>
    <w:pitch w:val="variable"/>
  </w:font>
  <w:font w:name="Tahoma">
    <w:charset w:val="01" w:characterSet="utf-8"/>
    <w:family w:val="swiss"/>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alibri">
    <w:charset w:val="01" w:characterSet="utf-8"/>
    <w:family w:val="roman"/>
    <w:pitch w:val="variable"/>
  </w:font>
  <w:font w:name="Arial Narrow">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bookmarkStart w:id="0" w:name="PageNumWizard_FOOTER_Default_Page_Style2"/>
    <w:r>
      <w:rPr/>
      <w:fldChar w:fldCharType="begin"/>
    </w:r>
    <w:r>
      <w:rPr/>
      <w:instrText xml:space="preserve"> PAGE </w:instrText>
    </w:r>
    <w:r>
      <w:rPr/>
      <w:fldChar w:fldCharType="separate"/>
    </w:r>
    <w:r>
      <w:rPr/>
      <w:t>8</w:t>
    </w:r>
    <w:r>
      <w:rPr/>
      <w:fldChar w:fldCharType="end"/>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bookmarkStart w:id="1" w:name="PageNumWizard_FOOTER_Default_Page_Style1"/>
    <w:r>
      <w:rPr/>
      <w:fldChar w:fldCharType="begin"/>
    </w:r>
    <w:r>
      <w:rPr/>
      <w:instrText xml:space="preserve"> PAGE </w:instrText>
    </w:r>
    <w:r>
      <w:rPr/>
      <w:fldChar w:fldCharType="separate"/>
    </w:r>
    <w:r>
      <w:rPr/>
      <w:t>7</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09"/>
  <w:autoHyphenation w:val="true"/>
  <w:hyphenationZone w:val="0"/>
  <w:evenAndOddHeaders/>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A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s-AR" w:eastAsia="zh-CN" w:bidi="hi-IN"/>
    </w:rPr>
  </w:style>
  <w:style w:type="paragraph" w:styleId="Heading1">
    <w:name w:val="heading 1"/>
    <w:basedOn w:val="Normal"/>
    <w:next w:val="Normal"/>
    <w:qFormat/>
    <w:pPr>
      <w:keepNext w:val="true"/>
      <w:keepLines/>
      <w:numPr>
        <w:ilvl w:val="0"/>
        <w:numId w:val="0"/>
      </w:numPr>
      <w:spacing w:before="480" w:after="0"/>
      <w:outlineLvl w:val="0"/>
    </w:pPr>
    <w:rPr>
      <w:rFonts w:ascii="Cambria" w:hAnsi="Cambria" w:eastAsia="NSimSun" w:cs="Lucida Sans"/>
      <w:b/>
      <w:bCs/>
      <w:color w:themeColor="accent1" w:themeShade="bf" w:val="365F91"/>
      <w:sz w:val="28"/>
      <w:szCs w:val="28"/>
    </w:rPr>
  </w:style>
  <w:style w:type="paragraph" w:styleId="Heading2">
    <w:name w:val="heading 2"/>
    <w:basedOn w:val="Normal"/>
    <w:next w:val="Normal"/>
    <w:qFormat/>
    <w:pPr>
      <w:keepNext w:val="true"/>
      <w:keepLines/>
      <w:numPr>
        <w:ilvl w:val="0"/>
        <w:numId w:val="0"/>
      </w:numPr>
      <w:spacing w:before="200" w:after="0"/>
      <w:outlineLvl w:val="1"/>
    </w:pPr>
    <w:rPr>
      <w:rFonts w:ascii="Cambria" w:hAnsi="Cambria" w:eastAsia="NSimSun" w:cs="Lucida Sans"/>
      <w:b/>
      <w:bCs/>
      <w:color w:themeColor="accent1" w:val="4F81BD"/>
      <w:sz w:val="26"/>
      <w:szCs w:val="26"/>
    </w:rPr>
  </w:style>
  <w:style w:type="paragraph" w:styleId="Heading3">
    <w:name w:val="heading 3"/>
    <w:basedOn w:val="Normal"/>
    <w:next w:val="Normal"/>
    <w:qFormat/>
    <w:pPr>
      <w:keepNext w:val="true"/>
      <w:keepLines/>
      <w:numPr>
        <w:ilvl w:val="0"/>
        <w:numId w:val="0"/>
      </w:numPr>
      <w:spacing w:before="40" w:after="0"/>
      <w:outlineLvl w:val="2"/>
    </w:pPr>
    <w:rPr>
      <w:rFonts w:ascii="Cambria" w:hAnsi="Cambria" w:eastAsia="NSimSun" w:cs="Lucida Sans"/>
      <w:color w:themeColor="accent1" w:themeShade="7f" w:val="243F60"/>
      <w:sz w:val="24"/>
      <w:szCs w:val="24"/>
    </w:rPr>
  </w:style>
  <w:style w:type="paragraph" w:styleId="Heading4">
    <w:name w:val="heading 4"/>
    <w:basedOn w:val="Normal"/>
    <w:next w:val="Normal"/>
    <w:qFormat/>
    <w:pPr>
      <w:keepNext w:val="true"/>
      <w:keepLines/>
      <w:numPr>
        <w:ilvl w:val="0"/>
        <w:numId w:val="0"/>
      </w:numPr>
      <w:spacing w:before="200" w:after="0"/>
      <w:outlineLvl w:val="3"/>
    </w:pPr>
    <w:rPr>
      <w:rFonts w:ascii="Cambria" w:hAnsi="Cambria" w:eastAsia="NSimSun" w:cs="Lucida Sans"/>
      <w:b/>
      <w:bCs/>
      <w:i/>
      <w:iCs/>
      <w:color w:themeColor="accent1" w:val="4F81BD"/>
    </w:rPr>
  </w:style>
  <w:style w:type="character" w:styleId="l7">
    <w:name w:val="l7"/>
    <w:basedOn w:val="DefaultParagraphFont"/>
    <w:qFormat/>
    <w:rPr/>
  </w:style>
  <w:style w:type="character" w:styleId="l6">
    <w:name w:val="l6"/>
    <w:basedOn w:val="DefaultParagraphFont"/>
    <w:qFormat/>
    <w:rPr/>
  </w:style>
  <w:style w:type="character" w:styleId="a">
    <w:name w:val="a"/>
    <w:basedOn w:val="DefaultParagraphFont"/>
    <w:qFormat/>
    <w:rPr/>
  </w:style>
  <w:style w:type="character" w:styleId="SangradetextonormalCar">
    <w:name w:val="Sangría de texto normal Car"/>
    <w:basedOn w:val="DefaultParagraphFont"/>
    <w:qFormat/>
    <w:rPr>
      <w:rFonts w:ascii="Comic Sans MS" w:hAnsi="Comic Sans MS" w:eastAsia="Times New Roman" w:cs="Times New Roman"/>
      <w:b/>
      <w:bCs/>
      <w:sz w:val="24"/>
      <w:szCs w:val="24"/>
      <w:lang w:eastAsia="es-ES"/>
    </w:rPr>
  </w:style>
  <w:style w:type="character" w:styleId="Ttulo3Car">
    <w:name w:val="Título 3 Car"/>
    <w:basedOn w:val="DefaultParagraphFont"/>
    <w:qFormat/>
    <w:rPr>
      <w:rFonts w:ascii="Cambria" w:hAnsi="Cambria" w:eastAsia="NSimSun" w:cs="Lucida Sans"/>
      <w:color w:themeColor="accent1" w:themeShade="7f" w:val="243F60"/>
      <w:sz w:val="24"/>
      <w:szCs w:val="24"/>
    </w:rPr>
  </w:style>
  <w:style w:type="character" w:styleId="Ttulo1Car">
    <w:name w:val="Título 1 Car"/>
    <w:basedOn w:val="DefaultParagraphFont"/>
    <w:qFormat/>
    <w:rPr>
      <w:rFonts w:ascii="Cambria" w:hAnsi="Cambria" w:eastAsia="NSimSun" w:cs="Lucida Sans"/>
      <w:b/>
      <w:bCs/>
      <w:color w:themeColor="accent1" w:themeShade="bf" w:val="365F91"/>
      <w:sz w:val="28"/>
      <w:szCs w:val="28"/>
    </w:rPr>
  </w:style>
  <w:style w:type="character" w:styleId="TextosinformatoCar">
    <w:name w:val="Texto sin formato Car"/>
    <w:basedOn w:val="DefaultParagraphFont"/>
    <w:qFormat/>
    <w:rPr>
      <w:rFonts w:ascii="Courier New" w:hAnsi="Courier New" w:eastAsia="Times New Roman" w:cs="Courier New"/>
      <w:sz w:val="20"/>
      <w:szCs w:val="20"/>
      <w:lang w:val="es-ES" w:eastAsia="es-ES"/>
    </w:rPr>
  </w:style>
  <w:style w:type="character" w:styleId="ilad">
    <w:name w:val="il_ad"/>
    <w:basedOn w:val="DefaultParagraphFont"/>
    <w:qFormat/>
    <w:rPr/>
  </w:style>
  <w:style w:type="character" w:styleId="PiedepginaCar">
    <w:name w:val="Pie de página Car"/>
    <w:basedOn w:val="DefaultParagraphFont"/>
    <w:qFormat/>
    <w:rPr/>
  </w:style>
  <w:style w:type="character" w:styleId="EncabezadoCar">
    <w:name w:val="Encabezado Car"/>
    <w:basedOn w:val="DefaultParagraphFont"/>
    <w:qFormat/>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apple-converted-space">
    <w:name w:val="apple-converted-space"/>
    <w:basedOn w:val="DefaultParagraphFont"/>
    <w:qFormat/>
    <w:rPr/>
  </w:style>
  <w:style w:type="character" w:styleId="Ttulo4Car">
    <w:name w:val="Título 4 Car"/>
    <w:basedOn w:val="DefaultParagraphFont"/>
    <w:qFormat/>
    <w:rPr>
      <w:rFonts w:ascii="Cambria" w:hAnsi="Cambria" w:eastAsia="NSimSun" w:cs="Lucida Sans"/>
      <w:b/>
      <w:bCs/>
      <w:i/>
      <w:iCs/>
      <w:color w:themeColor="accent1" w:val="4F81BD"/>
    </w:rPr>
  </w:style>
  <w:style w:type="character" w:styleId="Ttulo2Car">
    <w:name w:val="Título 2 Car"/>
    <w:basedOn w:val="DefaultParagraphFont"/>
    <w:qFormat/>
    <w:rPr>
      <w:rFonts w:ascii="Cambria" w:hAnsi="Cambria" w:eastAsia="NSimSun" w:cs="Lucida Sans"/>
      <w:b/>
      <w:bCs/>
      <w:color w:themeColor="accent1" w:val="4F81BD"/>
      <w:sz w:val="26"/>
      <w:szCs w:val="26"/>
    </w:rPr>
  </w:style>
  <w:style w:type="character" w:styleId="SubttuloCar">
    <w:name w:val="Subtítulo Car"/>
    <w:basedOn w:val="DefaultParagraphFont"/>
    <w:qFormat/>
    <w:rPr>
      <w:rFonts w:ascii="Cambria" w:hAnsi="Cambria" w:eastAsia="NSimSun" w:cs="Lucida Sans"/>
      <w:i/>
      <w:iCs/>
      <w:color w:themeColor="accent1" w:val="4F81BD"/>
      <w:spacing w:val="15"/>
      <w:sz w:val="24"/>
      <w:szCs w:val="24"/>
      <w:lang w:eastAsia="es-AR"/>
    </w:rPr>
  </w:style>
  <w:style w:type="character" w:styleId="TtuloCar">
    <w:name w:val="Título Car"/>
    <w:basedOn w:val="DefaultParagraphFont"/>
    <w:qFormat/>
    <w:rPr>
      <w:rFonts w:ascii="Cambria" w:hAnsi="Cambria" w:eastAsia="NSimSun" w:cs="Lucida Sans"/>
      <w:color w:themeColor="dark2" w:themeShade="bf" w:val="17365D"/>
      <w:spacing w:val="5"/>
      <w:kern w:val="2"/>
      <w:sz w:val="52"/>
      <w:szCs w:val="52"/>
      <w:lang w:eastAsia="es-AR"/>
    </w:rPr>
  </w:style>
  <w:style w:type="character" w:styleId="TextodegloboCar">
    <w:name w:val="Texto de globo Car"/>
    <w:basedOn w:val="DefaultParagraphFont"/>
    <w:qFormat/>
    <w:rPr>
      <w:rFonts w:ascii="Tahoma" w:hAnsi="Tahoma" w:cs="Tahoma"/>
      <w:sz w:val="16"/>
      <w:szCs w:val="16"/>
    </w:rPr>
  </w:style>
  <w:style w:type="character" w:styleId="SinespaciadoCar">
    <w:name w:val="Sin espaciado Car"/>
    <w:basedOn w:val="DefaultParagraphFont"/>
    <w:qFormat/>
    <w:rPr>
      <w:rFonts w:eastAsia="NSimSun"/>
      <w:lang w:eastAsia="es-AR"/>
    </w:rPr>
  </w:style>
  <w:style w:type="character" w:styleId="DefaultParagraphFont">
    <w:name w:val="Default Paragraph Font"/>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rameContents">
    <w:name w:val="Frame Contents"/>
    <w:basedOn w:val="Normal"/>
    <w:qFormat/>
    <w:pPr/>
    <w:rPr/>
  </w:style>
  <w:style w:type="paragraph" w:styleId="FrameContentsuser">
    <w:name w:val="Frame Contents (user)"/>
    <w:basedOn w:val="Normal"/>
    <w:qFormat/>
    <w:pPr/>
    <w:rPr/>
  </w:style>
  <w:style w:type="paragraph" w:styleId="BodyTextIndent">
    <w:name w:val="Body Text Indent"/>
    <w:basedOn w:val="Normal"/>
    <w:pPr>
      <w:spacing w:lineRule="auto" w:line="240" w:before="0" w:after="0"/>
      <w:ind w:hanging="2160" w:start="2160"/>
    </w:pPr>
    <w:rPr>
      <w:rFonts w:ascii="Comic Sans MS" w:hAnsi="Comic Sans MS" w:eastAsia="Times New Roman" w:cs="Times New Roman"/>
      <w:b/>
      <w:bCs/>
      <w:sz w:val="24"/>
      <w:szCs w:val="24"/>
      <w:lang w:eastAsia="es-ES"/>
    </w:rPr>
  </w:style>
  <w:style w:type="paragraph" w:styleId="PlainText">
    <w:name w:val="Plain Text"/>
    <w:basedOn w:val="Normal"/>
    <w:qFormat/>
    <w:pPr>
      <w:spacing w:lineRule="auto" w:line="240" w:before="0" w:after="0"/>
    </w:pPr>
    <w:rPr>
      <w:rFonts w:ascii="Courier New" w:hAnsi="Courier New" w:eastAsia="Times New Roman" w:cs="Courier New"/>
      <w:sz w:val="20"/>
      <w:szCs w:val="20"/>
      <w:lang w:val="es-ES" w:eastAsia="es-ES"/>
    </w:rPr>
  </w:style>
  <w:style w:type="paragraph" w:styleId="Default">
    <w:name w:val="Default"/>
    <w:qFormat/>
    <w:pPr>
      <w:widowControl/>
      <w:suppressAutoHyphens w:val="true"/>
      <w:bidi w:val="0"/>
      <w:spacing w:lineRule="auto" w:line="240" w:before="0" w:after="0"/>
      <w:jc w:val="start"/>
    </w:pPr>
    <w:rPr>
      <w:rFonts w:ascii="Times New Roman" w:hAnsi="Times New Roman" w:eastAsia="Calibri" w:cs="Times New Roman"/>
      <w:color w:val="000000"/>
      <w:kern w:val="0"/>
      <w:sz w:val="24"/>
      <w:szCs w:val="24"/>
      <w:lang w:val="es-AR" w:eastAsia="en-US" w:bidi="ar-SA"/>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419" w:leader="none"/>
        <w:tab w:val="right" w:pos="8838" w:leader="none"/>
      </w:tabs>
      <w:spacing w:lineRule="auto" w:line="240" w:before="0" w:after="0"/>
    </w:pPr>
    <w:rPr/>
  </w:style>
  <w:style w:type="paragraph" w:styleId="Header">
    <w:name w:val="header"/>
    <w:basedOn w:val="Normal"/>
    <w:pPr>
      <w:tabs>
        <w:tab w:val="clear" w:pos="709"/>
        <w:tab w:val="center" w:pos="4419" w:leader="none"/>
        <w:tab w:val="right" w:pos="8838" w:leader="none"/>
      </w:tabs>
      <w:spacing w:lineRule="auto" w:line="240" w:before="0" w:after="0"/>
    </w:pPr>
    <w:rPr/>
  </w:style>
  <w:style w:type="paragraph" w:styleId="ListParagraph">
    <w:name w:val="List Paragraph"/>
    <w:basedOn w:val="Normal"/>
    <w:qFormat/>
    <w:pPr>
      <w:spacing w:before="0" w:after="200"/>
      <w:ind w:start="72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s-AR"/>
    </w:rPr>
  </w:style>
  <w:style w:type="paragraph" w:styleId="Subtitle">
    <w:name w:val="Subtitle"/>
    <w:basedOn w:val="Normal"/>
    <w:next w:val="Normal"/>
    <w:qFormat/>
    <w:pPr/>
    <w:rPr>
      <w:rFonts w:ascii="Cambria" w:hAnsi="Cambria" w:eastAsia="NSimSun" w:cs="Lucida Sans"/>
      <w:i/>
      <w:iCs/>
      <w:color w:themeColor="accent1" w:val="4F81BD"/>
      <w:spacing w:val="15"/>
      <w:sz w:val="24"/>
      <w:szCs w:val="24"/>
      <w:lang w:eastAsia="es-AR"/>
    </w:rPr>
  </w:style>
  <w:style w:type="paragraph" w:styleId="Title">
    <w:name w:val="Title"/>
    <w:basedOn w:val="Normal"/>
    <w:next w:val="Normal"/>
    <w:qFormat/>
    <w:pPr>
      <w:pBdr>
        <w:bottom w:val="single" w:sz="8" w:space="4" w:color="4F81BD"/>
      </w:pBdr>
      <w:spacing w:lineRule="auto" w:line="240" w:before="0" w:after="300"/>
      <w:contextualSpacing/>
    </w:pPr>
    <w:rPr>
      <w:rFonts w:ascii="Cambria" w:hAnsi="Cambria" w:eastAsia="NSimSun" w:cs="Lucida Sans"/>
      <w:color w:themeColor="dark2" w:themeShade="bf" w:val="17365D"/>
      <w:spacing w:val="5"/>
      <w:kern w:val="2"/>
      <w:sz w:val="52"/>
      <w:szCs w:val="52"/>
      <w:lang w:eastAsia="es-A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start"/>
    </w:pPr>
    <w:rPr>
      <w:rFonts w:ascii="Calibri" w:hAnsi="Calibri" w:eastAsia="NSimSun" w:cs="Lucida Sans"/>
      <w:color w:val="auto"/>
      <w:kern w:val="0"/>
      <w:sz w:val="22"/>
      <w:szCs w:val="22"/>
      <w:lang w:val="es-AR" w:eastAsia="es-AR"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140</TotalTime>
  <Application>LibreOffice/26.2.1.2$Windows_X86_64 LibreOffice_project/620$Build-2</Application>
  <AppVersion>15.0000</AppVersion>
  <Pages>8</Pages>
  <Words>2851</Words>
  <Characters>15316</Characters>
  <CharactersWithSpaces>18076</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2026-05-14T09:31:05Z</dcterms:created>
  <dc:creator/>
  <dc:description/>
  <dc:language>es-AR</dc:language>
  <cp:lastModifiedBy/>
  <dcterms:modified xsi:type="dcterms:W3CDTF">2026-05-28T09:06:13Z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