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Narrow" w:hAnsi="Arial Narrow"/>
          <w:color w:val="111111"/>
          <w:sz w:val="24"/>
          <w:szCs w:val="24"/>
        </w:rPr>
      </w:pPr>
      <w:r>
        <w:rPr>
          <w:rFonts w:ascii="Arial Narrow" w:hAnsi="Arial Narrow"/>
          <w:b/>
          <w:bCs/>
          <w:color w:val="111111"/>
          <w:sz w:val="24"/>
          <w:szCs w:val="24"/>
          <w:u w:val="single"/>
          <w:shd w:fill="FFFF00" w:val="clear"/>
        </w:rPr>
        <w:t>LOS CONTRATOS EN EL NUEVO CÓDIGO CIVIL</w:t>
      </w:r>
    </w:p>
    <w:p>
      <w:pPr>
        <w:pStyle w:val="Normal"/>
        <w:bidi w:val="0"/>
        <w:jc w:val="both"/>
        <w:rPr>
          <w:rFonts w:ascii="Arial Narrow" w:hAnsi="Arial Narrow"/>
          <w:b/>
          <w:bCs/>
          <w:color w:val="111111"/>
          <w:sz w:val="24"/>
          <w:szCs w:val="24"/>
          <w:highlight w:val="none"/>
          <w:u w:val="none"/>
          <w:shd w:fill="FFFFFF" w:val="clear"/>
        </w:rPr>
      </w:pPr>
      <w:r>
        <w:rPr>
          <w:rFonts w:ascii="Arial Narrow" w:hAnsi="Arial Narrow"/>
          <w:b/>
          <w:bCs/>
          <w:color w:val="111111"/>
          <w:sz w:val="24"/>
          <w:szCs w:val="24"/>
          <w:u w:val="none"/>
          <w:shd w:fill="FFFFFF" w:val="clear"/>
        </w:rPr>
      </w:r>
    </w:p>
    <w:p>
      <w:pPr>
        <w:pStyle w:val="BodyText"/>
        <w:bidi w:val="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El Código Civil y Comercial de la Nación (el “CCC”) ha traído una novedad en materia contractual que resulta aplicable transversalmente a todo tipo de contratos. En tal sentido, se reconocen tres sistemas o modalidades de contratación: (i) contratos discrecionales o de negociación individual (art. 957 y ss); (ii) contratos por adhesión a cláusulas generales predispuestas (arts. 984 a 989); y (iii) contratos de consumo (arts. 1092 a 1122, 1384 a 1389 y la Ley 24.240).</w:t>
      </w:r>
    </w:p>
    <w:p>
      <w:pPr>
        <w:pStyle w:val="BodyText"/>
        <w:bidi w:val="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De ellas, la segunda categoría de contratos es la más interesante y la que probablemente presentará más desafíos a los contratantes y a los profesionales del derecho.</w:t>
      </w:r>
    </w:p>
    <w:p>
      <w:pPr>
        <w:pStyle w:val="BodyText"/>
        <w:bidi w:val="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br/>
        <w:t>Seguidamente reseñaremos brevemente algunos de los cambios que presenta el CCC en la materia.</w:t>
      </w:r>
    </w:p>
    <w:p>
      <w:pPr>
        <w:pStyle w:val="BodyText"/>
        <w:widowControl/>
        <w:bidi w:val="0"/>
        <w:spacing w:lineRule="atLeast" w:line="420" w:before="0" w:after="0"/>
        <w:ind w:hanging="0" w:start="0" w:end="0"/>
        <w:jc w:val="both"/>
        <w:rPr/>
      </w:pPr>
      <w:r>
        <w:rPr>
          <w:rStyle w:val="Strong"/>
          <w:rFonts w:ascii="Arial Narrow" w:hAnsi="Arial Narrow"/>
          <w:b/>
          <w:i w:val="false"/>
          <w:caps w:val="false"/>
          <w:smallCaps w:val="false"/>
          <w:color w:val="111111"/>
          <w:spacing w:val="0"/>
          <w:sz w:val="24"/>
          <w:szCs w:val="24"/>
          <w:u w:val="none"/>
          <w:shd w:fill="FFFFFF" w:val="clear"/>
        </w:rPr>
        <w:t>I. Contratos discrecionales o de negociación individual</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Las normas referidas a los contratos discrecionales o de negociación individual del nuevo CCC mantienen los lineamientos dados por el antiguo Código. No se advierten modificaciones sustanciales o críticas que no se encuentren ya consolidadas en doctrina y jurisprudencia mayoritarias; sin embargo, las inclusiones más relevantes en esta esfera son la regulación de los contratos preliminares (arts. 994 a 996), las subcontrataciones (art. 1069 a 1072) y los contratos conexos (arts. 1073 a 1075).</w:t>
      </w:r>
    </w:p>
    <w:p>
      <w:pPr>
        <w:pStyle w:val="BodyText"/>
        <w:bidi w:val="0"/>
        <w:jc w:val="both"/>
        <w:rPr/>
      </w:pPr>
      <w:r>
        <w:rPr>
          <w:rStyle w:val="Strong"/>
          <w:rFonts w:ascii="Arial Narrow" w:hAnsi="Arial Narrow"/>
          <w:b/>
          <w:i w:val="false"/>
          <w:caps w:val="false"/>
          <w:smallCaps w:val="false"/>
          <w:color w:val="111111"/>
          <w:spacing w:val="0"/>
          <w:sz w:val="24"/>
          <w:szCs w:val="24"/>
          <w:u w:val="none"/>
          <w:shd w:fill="FFFFFF" w:val="clear"/>
        </w:rPr>
        <w:t>II. Contrato por adhesión a cláusulas generales predispuestas</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El contrato por adhesión es una forma de contratación por la cual uno de los contratantes adhiere a cláusulas generales predispuestas unilateralmente por la contraparte en el contrato sin que el adherente haya participado en su redacción.</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Se trata de una forma de expresar el consentimiento dispuesta de forma genérica en el CCC e independiente de los contratos de consumo. Resulta común asociar, y hasta asimilar, las nociones de contratos por adhesión y contratos de consumo.</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Sin embargo, ambas modalidades de contratos distan de ser lo mismo. Podemos tener contratos por adhesión que no sean de consumo (negocios de empresas con sus proveedores, negocios B2B, etc.), mientras que los contratos de consumo, salvo excepciones, se realizan siempre bajo la modalidad de contratación por adhesión.</w:t>
      </w:r>
    </w:p>
    <w:p>
      <w:pPr>
        <w:pStyle w:val="BodyText"/>
        <w:widowControl/>
        <w:pBdr>
          <w:left w:val="single" w:sz="60" w:space="8" w:color="008ED3"/>
        </w:pBdr>
        <w:bidi w:val="0"/>
        <w:spacing w:lineRule="atLeast" w:line="360" w:before="375" w:after="375"/>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El contrato por adhesión es una forma de expresar el consentimiento dispuesta de forma genérica en el nuevo Código e independiente de los contratos de consumo.</w:t>
      </w:r>
    </w:p>
    <w:p>
      <w:pPr>
        <w:pStyle w:val="BodyText"/>
        <w:widowControl/>
        <w:bidi w:val="0"/>
        <w:spacing w:before="0" w:after="0"/>
        <w:ind w:hanging="0" w:start="0" w:end="0"/>
        <w:jc w:val="both"/>
        <w:rPr/>
      </w:pPr>
      <w:r>
        <w:rPr>
          <w:rFonts w:ascii="Arial Narrow" w:hAnsi="Arial Narrow"/>
          <w:b w:val="false"/>
          <w:bCs/>
          <w:i w:val="false"/>
          <w:caps w:val="false"/>
          <w:smallCaps w:val="false"/>
          <w:color w:val="111111"/>
          <w:spacing w:val="0"/>
          <w:sz w:val="24"/>
          <w:szCs w:val="24"/>
          <w:u w:val="none"/>
          <w:shd w:fill="FFFFFF" w:val="clear"/>
        </w:rPr>
        <w:t>Solo el tiempo permitirá juzgar el &amp;eacuEsta modalidad de contratación, cuya recepción en el CCC es novedosa para el campo de contratos entre empresas, resulta de aplicación directa y concreta a todo tipo de contratos (compraventa, locación, franquicia, concesión, distribución, suministro, </w:t>
      </w:r>
      <w:r>
        <w:rPr>
          <w:rStyle w:val="Emphasis"/>
          <w:rFonts w:ascii="Arial Narrow" w:hAnsi="Arial Narrow"/>
          <w:b w:val="false"/>
          <w:bCs/>
          <w:i w:val="false"/>
          <w:caps w:val="false"/>
          <w:smallCaps w:val="false"/>
          <w:color w:val="111111"/>
          <w:spacing w:val="0"/>
          <w:sz w:val="24"/>
          <w:szCs w:val="24"/>
          <w:u w:val="none"/>
          <w:shd w:fill="FFFFFF" w:val="clear"/>
        </w:rPr>
        <w:t>leasing</w:t>
      </w:r>
      <w:r>
        <w:rPr>
          <w:rFonts w:ascii="Arial Narrow" w:hAnsi="Arial Narrow"/>
          <w:b w:val="false"/>
          <w:bCs/>
          <w:i w:val="false"/>
          <w:caps w:val="false"/>
          <w:smallCaps w:val="false"/>
          <w:color w:val="111111"/>
          <w:spacing w:val="0"/>
          <w:sz w:val="24"/>
          <w:szCs w:val="24"/>
          <w:u w:val="none"/>
          <w:shd w:fill="FFFFFF" w:val="clear"/>
        </w:rPr>
        <w:t>, etc.), mediante los que, a diario, miles de PyMEs y grandes empresas realizan sus negocios.</w:t>
      </w:r>
    </w:p>
    <w:p>
      <w:pPr>
        <w:pStyle w:val="BodyText"/>
        <w:bidi w:val="0"/>
        <w:jc w:val="both"/>
        <w:rPr/>
      </w:pPr>
      <w:r>
        <w:rPr>
          <w:rStyle w:val="Strong"/>
          <w:rFonts w:ascii="Arial Narrow" w:hAnsi="Arial Narrow"/>
          <w:b/>
          <w:i w:val="false"/>
          <w:caps w:val="false"/>
          <w:smallCaps w:val="false"/>
          <w:color w:val="111111"/>
          <w:spacing w:val="0"/>
          <w:sz w:val="24"/>
          <w:szCs w:val="24"/>
          <w:u w:val="none"/>
          <w:shd w:fill="FFFFFF" w:val="clear"/>
        </w:rPr>
        <w:t>a. Requisitos de validez de las cláusulas generales predispuestas</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El CCC no prohíbe la inclusión de cláusulas predispuestas por una de las partes. No obstante le fija requisitos en el art. 985 para que las mismas resulten válidas y no lesionen derechos de la parte adherente.</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Las cláusulas predispuestas deben ser comprensibles, es decir que deben poder ser entendidas por el cocontratante y autosuficientes, o sea que todos los elementos para su correcta interpretación deben surgir de sí misma o de los anexos que, de existir, deben ser entregados al suscribirse el contrato.</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Asimismo se exige que la redacción de las cláusulas sea clara (sin ambigüedades), fácilmente inteligible y completa.</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Adicionalmente, el CCC tiene por no convenidas aquellas cláusulas que reenvíen a textos o documentos que no se facilitan a la contraparte de forma previa o simultánea a la conclusión del contrato.</w:t>
      </w:r>
    </w:p>
    <w:p>
      <w:pPr>
        <w:pStyle w:val="BodyText"/>
        <w:widowControl/>
        <w:bidi w:val="0"/>
        <w:spacing w:before="0" w:after="0"/>
        <w:ind w:hanging="0" w:start="0" w:end="0"/>
        <w:jc w:val="both"/>
        <w:rPr/>
      </w:pPr>
      <w:r>
        <w:rPr>
          <w:rStyle w:val="Strong"/>
          <w:rFonts w:ascii="Arial Narrow" w:hAnsi="Arial Narrow"/>
          <w:b/>
          <w:i w:val="false"/>
          <w:caps w:val="false"/>
          <w:smallCaps w:val="false"/>
          <w:color w:val="111111"/>
          <w:spacing w:val="0"/>
          <w:sz w:val="24"/>
          <w:szCs w:val="24"/>
          <w:u w:val="none"/>
          <w:shd w:fill="FFFFFF" w:val="clear"/>
        </w:rPr>
        <w:t>b. Cláusulas predispuestas abusivas</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El régimen de cláusulas abusivas de los contratos por adhesión del art. 988 CCC es similar al del art. 37 de la Ley 24.240, puesto que tiene por no escritas: (i) las cláusulas que desnaturalizan las obligaciones del predisponerte; (ii) las que importan renuncia o restricción a los derechos del adherente, o amplían derechos del predisponente que resultan de normas supletorias; y (iii) las que, por su contenido, redacción o presentación, no son razonablemente previsibles.</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Mientras que el art. 37 inc. c) de la Ley 24.240 prohíbe la inclusión de cláusulas que inviertan la carga de la prueba en cabeza del consumidor, el art. 988 CCC lo reemplaza por la prohibición de cláusulas que no resulten razonablemente previsibles. Se pasa de un supuesto puntual y exclusivo a uno amplio que comprende al anterior y permite la eventual inclusión de otros supuestos, como las llamadas cláusulas “sorpresa” (aquellas que contratantes de buena fe no se esperarían razonablemente en un determinado tipo de negocio).</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Se fija en cabeza del juez la facultad de declarar la nulidad de una cláusula reputada abusiva, y la aprobación administrativa del contrato por algún regulador no obsta a dicha declaración de nulidad. Asimismo se habilita al juez a integrar el contrato para mantener la finalidad del mismo ante declaraciones de nulidad parcial.</w:t>
      </w:r>
    </w:p>
    <w:p>
      <w:pPr>
        <w:pStyle w:val="BodyText"/>
        <w:widowControl/>
        <w:bidi w:val="0"/>
        <w:spacing w:lineRule="atLeast" w:line="420" w:before="0" w:after="0"/>
        <w:ind w:hanging="0" w:start="0" w:end="0"/>
        <w:jc w:val="both"/>
        <w:rPr/>
      </w:pPr>
      <w:r>
        <w:rPr>
          <w:rStyle w:val="Strong"/>
          <w:rFonts w:ascii="Arial Narrow" w:hAnsi="Arial Narrow"/>
          <w:b/>
          <w:i w:val="false"/>
          <w:caps w:val="false"/>
          <w:smallCaps w:val="false"/>
          <w:color w:val="111111"/>
          <w:spacing w:val="0"/>
          <w:sz w:val="24"/>
          <w:szCs w:val="24"/>
          <w:u w:val="none"/>
          <w:shd w:fill="FFFFFF" w:val="clear"/>
        </w:rPr>
        <w:t>III. Contratos de consumo</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La regulación de los contratos de consumo en el CCC sigue la línea de la Ley 24.240, aunque se advierten ciertas diferencias entre el CCC y la Ley 24.240.</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En primer lugar, se ha resignificado la importancia de los contratos de consumo en el Código de fondo como uno de los tres pilares contractuales de la teoría general del contrato, en línea con la impronta que ha marcado la Corte Suprema con el art. 42 de la Constitución Nacional como norte.</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En ese marco, el deber de información en cabeza del proveedor se ve ampliado en el CCC, puesto que se debe brindar información cierta y detallada respecto de todo lo relacionado con las características esenciales de los bienes y servicios que provee, las condiciones de su comercialización y toda otra circunstancia relevante para el contrato (art. 1100). Se agrega así el deber de información sobre “toda otra circunstancia relevante para el contrato” que el art. 4 de la Ley 24.240 no incluía y de esta manera se amplía el alcance de esta carga legal que ya de por sí era bastante amplia.</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Además, el CCC ha reconocido la importancia de la publicidad en las relaciones de consumo y ha fijado como directriz fundamental que las publicidades no deben inducir a error o engaño a los consumidores ni a que adopten conductas peligrosas para su salud o seguridad.</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A su vez, existe una sección específica para la tutela de los consumidores bancarios con un sistema de protección especial para este tipo de contratos.</w:t>
      </w:r>
    </w:p>
    <w:p>
      <w:pPr>
        <w:pStyle w:val="BodyText"/>
        <w:widowControl/>
        <w:bidi w:val="0"/>
        <w:spacing w:before="0" w:after="0"/>
        <w:ind w:hanging="0" w:start="0" w:end="0"/>
        <w:jc w:val="both"/>
        <w:rPr>
          <w:rFonts w:ascii="Arial Narrow" w:hAnsi="Arial Narrow"/>
          <w:color w:val="111111"/>
          <w:sz w:val="24"/>
          <w:szCs w:val="24"/>
        </w:rPr>
      </w:pPr>
      <w:r>
        <w:rPr>
          <w:rFonts w:ascii="Arial Narrow" w:hAnsi="Arial Narrow"/>
          <w:b w:val="false"/>
          <w:bCs/>
          <w:i w:val="false"/>
          <w:caps w:val="false"/>
          <w:smallCaps w:val="false"/>
          <w:color w:val="111111"/>
          <w:spacing w:val="0"/>
          <w:sz w:val="24"/>
          <w:szCs w:val="24"/>
          <w:u w:val="none"/>
          <w:shd w:fill="FFFFFF" w:val="clear"/>
        </w:rPr>
        <w:t>En síntesis, son varios los cambios en materia contractual. En nuestra opinión, en relación con la introducción de un régimen de contratación por adhesión aplicable a la contratación entre empresas es, sin lugar a dudas, ese el ámbito donde deberán realizarse los mayores esfuerzos para prevenir y adecuar la práctica cotidiana a las pautas del CCC.</w:t>
      </w:r>
    </w:p>
    <w:p>
      <w:pPr>
        <w:pStyle w:val="BodyText"/>
        <w:widowControl/>
        <w:bidi w:val="0"/>
        <w:spacing w:before="0" w:after="0"/>
        <w:ind w:hanging="0" w:start="0" w:end="0"/>
        <w:jc w:val="both"/>
        <w:rPr>
          <w:rFonts w:ascii="Arial Narrow" w:hAnsi="Arial Narrow"/>
          <w:b w:val="false"/>
          <w:bCs/>
          <w:i w:val="false"/>
          <w:caps w:val="false"/>
          <w:smallCaps w:val="false"/>
          <w:color w:val="111111"/>
          <w:spacing w:val="0"/>
          <w:sz w:val="24"/>
          <w:szCs w:val="24"/>
          <w:highlight w:val="none"/>
          <w:u w:val="none"/>
          <w:shd w:fill="FFFFFF" w:val="clear"/>
        </w:rPr>
      </w:pPr>
      <w:r>
        <w:rPr>
          <w:rFonts w:ascii="Arial Narrow" w:hAnsi="Arial Narrow"/>
          <w:b w:val="false"/>
          <w:bCs/>
          <w:i w:val="false"/>
          <w:caps w:val="false"/>
          <w:smallCaps w:val="false"/>
          <w:color w:val="111111"/>
          <w:spacing w:val="0"/>
          <w:sz w:val="24"/>
          <w:szCs w:val="24"/>
          <w:u w:val="none"/>
          <w:shd w:fill="FFFFFF" w:val="clear"/>
        </w:rPr>
      </w:r>
    </w:p>
    <w:p>
      <w:pPr>
        <w:pStyle w:val="Normal"/>
        <w:bidi w:val="0"/>
        <w:jc w:val="both"/>
        <w:rPr>
          <w:rFonts w:ascii="Arial Narrow" w:hAnsi="Arial Narrow"/>
          <w:b w:val="false"/>
          <w:bCs/>
          <w:i w:val="false"/>
          <w:caps w:val="false"/>
          <w:smallCaps w:val="false"/>
          <w:color w:val="111111"/>
          <w:spacing w:val="0"/>
          <w:sz w:val="24"/>
          <w:szCs w:val="24"/>
          <w:highlight w:val="none"/>
          <w:u w:val="none"/>
          <w:shd w:fill="FFFF00" w:val="clear"/>
        </w:rPr>
      </w:pPr>
      <w:r>
        <w:rPr>
          <w:rFonts w:ascii="Arial Narrow" w:hAnsi="Arial Narrow"/>
          <w:b w:val="false"/>
          <w:bCs/>
          <w:i w:val="false"/>
          <w:caps w:val="false"/>
          <w:smallCaps w:val="false"/>
          <w:color w:val="111111"/>
          <w:spacing w:val="0"/>
          <w:sz w:val="24"/>
          <w:szCs w:val="24"/>
          <w:u w:val="none"/>
          <w:shd w:fill="FFFF00" w:val="clear"/>
        </w:rPr>
      </w:r>
    </w:p>
    <w:p>
      <w:pPr>
        <w:pStyle w:val="Heading5"/>
        <w:bidi w:val="0"/>
        <w:jc w:val="both"/>
        <w:rPr>
          <w:rFonts w:ascii="Arial Narrow" w:hAnsi="Arial Narrow"/>
          <w:b/>
          <w:bCs/>
          <w:i w:val="false"/>
          <w:caps w:val="false"/>
          <w:smallCaps w:val="false"/>
          <w:color w:val="111111"/>
          <w:spacing w:val="0"/>
          <w:sz w:val="28"/>
          <w:szCs w:val="28"/>
          <w:u w:val="single"/>
          <w:shd w:fill="FFFFFF" w:val="clear"/>
        </w:rPr>
      </w:pPr>
      <w:r>
        <w:rPr>
          <w:rFonts w:ascii="Arial Narrow" w:hAnsi="Arial Narrow"/>
          <w:b/>
          <w:bCs/>
          <w:i w:val="false"/>
          <w:caps w:val="false"/>
          <w:smallCaps w:val="false"/>
          <w:color w:val="111111"/>
          <w:spacing w:val="0"/>
          <w:sz w:val="28"/>
          <w:szCs w:val="28"/>
          <w:u w:val="single"/>
          <w:shd w:fill="FFFFFF" w:val="clear"/>
        </w:rPr>
        <w:t>Contratos: nuevo enfoque normativo</w:t>
      </w:r>
    </w:p>
    <w:p>
      <w:pPr>
        <w:pStyle w:val="BodyText"/>
        <w:widowControl/>
        <w:spacing w:lineRule="atLeast" w:line="420" w:before="0" w:after="0"/>
        <w:ind w:hanging="0" w:start="0" w:end="0"/>
        <w:jc w:val="both"/>
        <w:rPr>
          <w:b/>
          <w:bCs/>
          <w:color w:val="111111"/>
          <w:shd w:fill="FFFFFF" w:val="clear"/>
        </w:rPr>
      </w:pPr>
      <w:r>
        <w:rPr>
          <w:rStyle w:val="Strong"/>
          <w:rFonts w:ascii="Arial Narrow" w:hAnsi="Arial Narrow"/>
          <w:b/>
          <w:i w:val="false"/>
          <w:caps w:val="false"/>
          <w:smallCaps w:val="false"/>
          <w:color w:val="111111"/>
          <w:spacing w:val="0"/>
          <w:sz w:val="24"/>
          <w:szCs w:val="24"/>
          <w:shd w:fill="FFFFFF" w:val="clear"/>
        </w:rPr>
        <w:t>1. Concepción clásica de contrato y su evolución</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t>El concepto tradicional de contrato plasmado en el Código Civil -hoy derogado por la Ley 26.994- reconocía un poder predominante a la autonomía de la voluntad de los particulares, como presupuesto para su validez y como pauta interpretativa. Así, lo definía como un acuerdo que refleja la voluntad común destinada a reglar los derechos de las partes</w:t>
      </w:r>
      <w:r>
        <w:fldChar w:fldCharType="begin"/>
      </w:r>
      <w:r>
        <w:rPr>
          <w:rStyle w:val="Style6"/>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"1"</w:instrText>
      </w:r>
      <w:r>
        <w:rPr>
          <w:rStyle w:val="Style6"/>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Style6"/>
          <w:rFonts w:ascii="Arial Narrow" w:hAnsi="Arial Narrow"/>
          <w:b w:val="false"/>
          <w:bCs/>
          <w:i w:val="false"/>
          <w:caps w:val="false"/>
          <w:smallCaps w:val="false"/>
          <w:strike w:val="false"/>
          <w:dstrike w:val="false"/>
          <w:color w:val="111111"/>
          <w:spacing w:val="0"/>
          <w:sz w:val="24"/>
          <w:szCs w:val="24"/>
          <w:u w:val="none"/>
          <w:effect w:val="none"/>
          <w:shd w:fill="auto" w:val="clear"/>
        </w:rPr>
        <w:t>.</w:t>
      </w:r>
      <w:r>
        <w:rPr>
          <w:rStyle w:val="Style6"/>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br/>
        <w:t>Este encuadramiento clásico que presupone negociación de contratantes y también igualdad entre ellos, aceptado durante mucho tiempo como inconmovible, ha ido flexibilizándose en las últimas décadas en doctrina, jurisprudencia y aun en materia legislativa, teniendo en cuenta la realidad social y negocial que demuestra que tal declaración de voluntad común es la excepción por cuanto la regla son los contratos con cláusulas predispuestas, los celebrados sobre la base de condiciones generales, los de adhesión y los de consumo. En materia legislativa, luego de la reforma sustantiva de la Ley 17.811 al Código Civil, y antes de la sanción del Código Civil y Comercial de la Nación, se produjo un proceso de decodificación en el que coexistían microsistemas y subsistemas que reflejaban esta nueva visión contractual (vgr. Ley 24.240 de Defensa del Consumidor). Este enjambre normativo adquirió unidad con la sanción del Código Civil y Comercial de la Nación, que incluyó principalmente, a través de su Título Preliminar, contenidos básicos que actúan como unificadores de todo el derecho, y, si bien algunas leyes especiales no fueron derogadas –como la Ley de Salud Mental 26.657, Ley de Consumidores 24.240, Ley General de Sociedades 19.550, etcétera.-, el contenido de los principios enmarca a los microsistemas normativos.</w:t>
      </w:r>
    </w:p>
    <w:p>
      <w:pPr>
        <w:pStyle w:val="BodyText"/>
        <w:widowControl/>
        <w:pBdr>
          <w:left w:val="single" w:sz="60" w:space="8" w:color="008ED3"/>
        </w:pBdr>
        <w:spacing w:lineRule="atLeast" w:line="360" w:before="375" w:after="375"/>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principio de autonomía de la voluntad constituye la piedra fundamental sobre la cual se estructura todo el sistema del derecho privado, y consiste en la cualidad de la voluntad en cuya virtud la persona tiene la facultad de autodeterminarse y de sujetarse a determinado orden.</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De ahí que la relevancia de la “declaración de voluntad común” y la autonomía de la voluntad, como requisito configurativo de la noción de contrato, ceden a nuevas modalidades contractuales que requieren protección y regulación, en las que se advierte desequilibrios en la bilateralidad</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t>Sin embargo, en este punto corresponde precisar que este principio de autonomía de la voluntad constituye la piedra fundamental sobre la cual se estructura todo el sistema del derecho privado, y consiste en la cualidad de la voluntad en cuya virtud la persona tiene la facultad de autodeterminarse y de sujetarse a determinado orden</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"2"</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2</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Posee dos vertientes claras: por un lado, la posibilidad de contratar o no y de elegir con quien, y, por el otro, la de contratar de una manera determinada, estableciendo y negociando el contenido del contrato, a través de la autorregulación de las obligaciones que de él derivan, y la de modificar las estipulaciones del acuerdo.</w:t>
        <w:br/>
        <w:br/>
        <w:t>Ahora bien, vimos que la realidad desborda estos conceptos jurídicos y que nos encontramos con acuerdos en los que la autonomía de la voluntad se ve restringida y hasta anulada. En muchos casos, tal como surge del debate parlamentario de la Ley 26.994, es una mera declamación y sólo existe el contrato predispuesto, de adhesión o el perfeccionado mediante formulario, donde una sola de las partes impone todas las condiciones generales; con frecuencia lo hace la parte económicamente fuerte, como ocurre, por ejemplo, con la locación de cosas o en el caso de los alquileres de inmuebles destinados a vivienda.</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t>Es característico de los contratos de adhesión, como así también de los de consumo, la situación de inferioridad y por tanto de desigualdad entre contratantes</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"3"</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3</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Esos desequilibrios normalmente tienen su correlato en la elaboración unilateral por la parte que posee el poder de negociación. Así concebido el contrato, su contenido es el reflejo de esa desigualdad y fuente de injusticias que se traducen en abusos y excesos.</w:t>
        <w:br/>
        <w:br/>
        <w:t>El nuevo Código recoge el principio de libertad contractual al establecer en su art. 958 que las partes son libres para celebrar un contrato y determinar su contenido, pero limita esta facultad a las restricciones impuestas por la ley, el orden público, la moral y las buenas costumbres</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"4"</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4</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O sea, se establecieron limitaciones expresas a ese principio, que tienen su antecedente en el art. 1198 del Código de Vélez Sarsfield.</w:t>
        <w:br/>
        <w:br/>
        <w:t>La reforma introdujo cuatro categorías de contratos con especial regulación: el contrato discrecional o paritario, el contrato por adhesión a cláusulas predispuestas, el contrato de consumo y los contratos conexos. A cada uno de estos grupos contractuales se le aplican distintas pautas interpretativas atendiendo a la situación en la que se encuentran las partes y la naturaleza del vínculo.</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br/>
        <w:t>Esta concepción de los contratos busca el equilibrio entre los contratantes, en especial, en las relaciones de consumo, promoviendo la constitucionalización de comportamientos negociales.</w:t>
      </w:r>
    </w:p>
    <w:p>
      <w:pPr>
        <w:pStyle w:val="BodyText"/>
        <w:widowControl/>
        <w:spacing w:lineRule="atLeast" w:line="420" w:before="0" w:after="0"/>
        <w:ind w:hanging="0" w:start="0" w:end="0"/>
        <w:jc w:val="both"/>
        <w:rPr>
          <w:b/>
          <w:bCs/>
          <w:color w:val="111111"/>
          <w:shd w:fill="FFFFFF" w:val="clear"/>
        </w:rPr>
      </w:pPr>
      <w:r>
        <w:rPr>
          <w:rStyle w:val="Strong"/>
          <w:rFonts w:ascii="Arial Narrow" w:hAnsi="Arial Narrow"/>
          <w:b/>
          <w:i w:val="false"/>
          <w:caps w:val="false"/>
          <w:smallCaps w:val="false"/>
          <w:color w:val="111111"/>
          <w:spacing w:val="0"/>
          <w:sz w:val="24"/>
          <w:szCs w:val="24"/>
          <w:shd w:fill="FFFFFF" w:val="clear"/>
        </w:rPr>
        <w:t>2. Constitucionalización del derecho privado</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Código Civil y Comercial instaura un cambio de paradigma, que surge principalmente de su Título Preliminar, que consagra el denominado “diálogo de fuentes” y la constitucionalización del derecho privado, que establece una comunidad de principios entre la Constitución, el derecho público y el derecho privado (arts. 1, 2 y 12). Ello, no obstante la supremacía de la Constitución Nacional sobre lo distintos órdenes jurídicos prevista en su art. 31. Y su art. 75, inciso 22 prevé la jerarquía constitucional de diversos tratados; se ha plasmado así expresamente esta situación en el Código Civil y Comercial.</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br/>
        <w:t>En línea con esto, a lo largo del articulado, se hace referencia directa o indirectamente a los tratados internacionales que forman parte del bloque de constitucionalidad, sobre todo los vinculados a los derechos humanos.</w:t>
        <w:br/>
        <w:br/>
        <w:t>La constitucionalización del derecho lleva a su unificación y nos conduce a aprehender el contrato como un instrumento social con efectos claros en toda la comunidad</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"5"</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5</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Nuestro sistema constitucional se basa en la idea de la libertad, promueve la iniciativa individual y protege sus frutos en tanto no perjudiquen a otros. Lo hace con una visión social, establecida en el art. 14 bis y en normas contenidas en los tratados de Derechos Humanos incorporados a nuestro bloque de constitucionalidad, y es por ello que establece regulaciones destinadas a evitar la vulneración de los derechos de los contratantes en situación de mayor debilidad jurídica, económica o social.</w:t>
      </w:r>
    </w:p>
    <w:p>
      <w:pPr>
        <w:pStyle w:val="BodyText"/>
        <w:widowControl/>
        <w:spacing w:lineRule="atLeast" w:line="420" w:before="0" w:after="0"/>
        <w:ind w:hanging="0" w:start="0" w:end="0"/>
        <w:jc w:val="both"/>
        <w:rPr>
          <w:b/>
          <w:bCs/>
          <w:color w:val="111111"/>
          <w:shd w:fill="FFFFFF" w:val="clear"/>
        </w:rPr>
      </w:pPr>
      <w:r>
        <w:rPr>
          <w:rStyle w:val="Strong"/>
          <w:rFonts w:ascii="Arial Narrow" w:hAnsi="Arial Narrow"/>
          <w:b/>
          <w:i w:val="false"/>
          <w:caps w:val="false"/>
          <w:smallCaps w:val="false"/>
          <w:color w:val="111111"/>
          <w:spacing w:val="0"/>
          <w:sz w:val="24"/>
          <w:szCs w:val="24"/>
          <w:shd w:fill="FFFFFF" w:val="clear"/>
        </w:rPr>
        <w:t>3. Función del contrato</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Podemos afirmar, entonces, que la teoría clásica del contrato ha sido impactada por las transformaciones sociales que han modificado las modalidades de negociación, contratación, el alcance de la autonomía de la voluntad y la manera de manifestar el consentimiento, pero los principios generales de buena fe y de solidaridad encuentran en este nuevo ordenamiento un nuevo estatus normativo.</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principio de solidaridad social tiene su contracara en el de individualidad y corresponde vincularlo con el interés común. La aplicación directa del principio de solidaridad sería el respeto al medio ambiente, la consideración frente a consumidores y usuarios, el combate contra todo tipo de discriminación. El derecho individualista que sólo contempla la voluntad del más fuerte tiende a eliminarse y deja paso a un derecho solidarista que tiene en cuenta la realidad personal y la tutela de los vulnerables, evitando el aprovechamiento, la usura, la ventaja desproporcionada.</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t>La materia contractual no solo tiene repercusiones en las partes contratantes, sino que afecta el desenvolvimiento de las relaciones en la comunidad, como elemento estabilizador. Recordemos que la vida en sociedad se desarrolla esencialmente mediante acuerdos, de distinta envergadura, entre los particulares.</w:t>
        <w:br/>
        <w:br/>
        <w:t>Esta idea fue plasmada expresamente en el art. 421 del Código Civil brasileño, que enmarca el ejercicio de la libertad de contratar dentro de los límites impuestos por su función social. Esta innovadora norma ha recibido fuertes críticas en doctrina, pero no puede negarse que su sanción tiene estrecha vinculación con la realidad social y las consecuencias de las relaciones contractuales. El concepto de función social de la propiedad había sido reconocido en el art. 38 de la Constitución Nacional de 1949</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"6"</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6</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lo cual implicaba un balance entre el uso personal de la propiedad y las exigencias del bien común.</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Código, en el Título Preliminar, contempla una serie de principios dirigidos al ciudadano (buena fe, prohibición del abuso de derecho y fraude a la ley) que tienen una función directriz y constituyen una pauta orientadora que encuadra todo el plexo normativo. A la luz de estas premisas sobre las que se estructura el nuevo ordenamiento del derecho privado, cabe concluir que corresponde armonizar los derechos y garantías individuales con el conjunto de derechos sociales, que importa no sólo la protección del derecho de propiedad privada, sino también la función social que cumple, protegiendo a las partes de abusos mediante la regulación de las conductas con fines de bien común.</w:t>
      </w:r>
    </w:p>
    <w:p>
      <w:pPr>
        <w:pStyle w:val="BodyText"/>
        <w:widowControl/>
        <w:spacing w:before="0" w:after="0"/>
        <w:ind w:hanging="0" w:start="0" w:end="0"/>
        <w:jc w:val="both"/>
        <w:rPr>
          <w:b/>
          <w:bCs/>
          <w:color w:val="111111"/>
          <w:shd w:fill="FFFFFF" w:val="clear"/>
        </w:rPr>
      </w:pPr>
      <w:r>
        <w:rPr>
          <w:rFonts w:ascii="Arial Narrow" w:hAnsi="Arial Narrow"/>
          <w:b w:val="false"/>
          <w:bCs/>
          <w:i w:val="false"/>
          <w:caps w:val="false"/>
          <w:smallCaps w:val="false"/>
          <w:color w:val="111111"/>
          <w:spacing w:val="0"/>
          <w:sz w:val="24"/>
          <w:szCs w:val="24"/>
          <w:shd w:fill="FFFFFF" w:val="clear"/>
        </w:rPr>
        <w:t>El contrato debe orientarse a fines útiles y éticos, y no meramente individuales y egoístas, lo cual se compadece con la tutela del orden público, de la moral social y de la justicia social</w:t>
      </w:r>
      <w:r>
        <w:fldChar w:fldCharType="begin"/>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instrText xml:space="preserve"> HYPERLINK "https://archivo.consejo.org.ar/consejodigital/RC38/kina.html" \l "8"</w:instrTex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separate"/>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t>8</w:t>
      </w:r>
      <w:r>
        <w:rPr>
          <w:rStyle w:val="Hyperlink"/>
          <w:rFonts w:ascii="Arial Narrow" w:hAnsi="Arial Narrow"/>
          <w:b w:val="false"/>
          <w:bCs/>
          <w:i w:val="false"/>
          <w:caps w:val="false"/>
          <w:smallCaps w:val="false"/>
          <w:strike w:val="false"/>
          <w:dstrike w:val="false"/>
          <w:color w:val="111111"/>
          <w:spacing w:val="0"/>
          <w:sz w:val="24"/>
          <w:szCs w:val="24"/>
          <w:u w:val="none"/>
          <w:effect w:val="none"/>
          <w:shd w:fill="auto" w:val="clear"/>
        </w:rPr>
        <w:fldChar w:fldCharType="end"/>
      </w:r>
      <w:r>
        <w:rPr>
          <w:rFonts w:ascii="Arial Narrow" w:hAnsi="Arial Narrow"/>
          <w:b w:val="false"/>
          <w:bCs/>
          <w:i w:val="false"/>
          <w:caps w:val="false"/>
          <w:smallCaps w:val="false"/>
          <w:color w:val="111111"/>
          <w:spacing w:val="0"/>
          <w:sz w:val="24"/>
          <w:szCs w:val="24"/>
          <w:shd w:fill="FFFFFF" w:val="clear"/>
        </w:rPr>
        <w:t>. En este sentido, el Título Preliminar dispone que la ley no ampara el ejercicio abusivo de los derechos individuales cuando pueda afectar al ambiente y a los derechos de incidencia colectiva en general. Es más, la Constitución Nacional dispone derechos y deberes destinados a un hombre en sociedad, no aislado, y la Convención Americana de Derechos Humanos determina que toda persona tiene derecho al uso y goce de sus bienes; no obstante, la ley puede subordinar tal uso y goce al interés social (art. 21).</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CCCN, como cambio estructural y de fondo en materia contractual, pretende armonizar su conformación y regulación con el orden público, el interés social, las buenas costumbres y los principios de la colaboración, confianza y lealtad en un contexto de buena fe.</w:t>
      </w:r>
    </w:p>
    <w:p>
      <w:pPr>
        <w:pStyle w:val="BodyText"/>
        <w:widowControl/>
        <w:spacing w:before="0" w:after="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r>
    </w:p>
    <w:p>
      <w:pPr>
        <w:pStyle w:val="BodyText"/>
        <w:widowControl/>
        <w:spacing w:before="0" w:after="0"/>
        <w:ind w:hanging="0" w:start="0" w:end="0"/>
        <w:jc w:val="both"/>
        <w:rPr>
          <w:highlight w:val="none"/>
          <w:shd w:fill="FFFF00" w:val="clear"/>
        </w:rPr>
      </w:pPr>
      <w:r>
        <w:rPr>
          <w:rFonts w:ascii="Arial Narrow" w:hAnsi="Arial Narrow"/>
          <w:b/>
          <w:bCs/>
          <w:i w:val="false"/>
          <w:caps w:val="false"/>
          <w:smallCaps w:val="false"/>
          <w:color w:val="111111"/>
          <w:spacing w:val="0"/>
          <w:sz w:val="28"/>
          <w:szCs w:val="28"/>
          <w:u w:val="single"/>
          <w:shd w:fill="FFFF00" w:val="clear"/>
        </w:rPr>
        <w:t>CONTRATO DE COMPRAVENTA</w:t>
      </w:r>
    </w:p>
    <w:p>
      <w:pPr>
        <w:pStyle w:val="Normal"/>
        <w:bidi w:val="0"/>
        <w:jc w:val="both"/>
        <w:rPr>
          <w:rFonts w:ascii="Arial Narrow" w:hAnsi="Arial Narrow"/>
          <w:b/>
          <w:bCs/>
          <w:color w:val="111111"/>
          <w:sz w:val="24"/>
          <w:szCs w:val="24"/>
          <w:u w:val="none"/>
          <w:shd w:fill="FFFFFF" w:val="clear"/>
        </w:rPr>
      </w:pPr>
      <w:r>
        <w:rPr>
          <w:rFonts w:ascii="Arial Narrow" w:hAnsi="Arial Narrow"/>
          <w:b/>
          <w:bCs/>
          <w:color w:val="111111"/>
          <w:sz w:val="24"/>
          <w:szCs w:val="24"/>
          <w:u w:val="none"/>
          <w:shd w:fill="FFFFFF" w:val="clear"/>
        </w:rPr>
      </w:r>
    </w:p>
    <w:p>
      <w:pPr>
        <w:pStyle w:val="BlockQuotationuser"/>
        <w:bidi w:val="0"/>
        <w:jc w:val="both"/>
        <w:rPr>
          <w:rFonts w:ascii="Arial Narrow" w:hAnsi="Arial Narrow"/>
          <w:b/>
          <w:bCs/>
          <w:color w:val="111111"/>
          <w:sz w:val="24"/>
          <w:szCs w:val="24"/>
          <w:u w:val="none"/>
          <w:shd w:fill="FFFFFF" w:val="clear"/>
        </w:rPr>
      </w:pPr>
      <w:r>
        <w:rPr>
          <w:rStyle w:val="Strong"/>
          <w:rFonts w:ascii="Segoe UI;Roboto;Oxygen-Sans;Ubuntu;Cantarell;Helvetica Neue;sans-serif" w:hAnsi="Segoe UI;Roboto;Oxygen-Sans;Ubuntu;Cantarell;Helvetica Neue;sans-serif"/>
          <w:b/>
          <w:bCs/>
          <w:i/>
          <w:caps w:val="false"/>
          <w:smallCaps w:val="false"/>
          <w:color w:val="272626"/>
          <w:spacing w:val="0"/>
          <w:sz w:val="24"/>
          <w:szCs w:val="24"/>
          <w:u w:val="none"/>
          <w:shd w:fill="FFFFFF" w:val="clear"/>
        </w:rPr>
        <w:t>ARTÍCULO 1123.- Definición. </w:t>
      </w:r>
      <w:r>
        <w:rPr>
          <w:rFonts w:ascii="Segoe UI;Roboto;Oxygen-Sans;Ubuntu;Cantarell;Helvetica Neue;sans-serif" w:hAnsi="Segoe UI;Roboto;Oxygen-Sans;Ubuntu;Cantarell;Helvetica Neue;sans-serif"/>
          <w:b/>
          <w:bCs/>
          <w:i/>
          <w:caps w:val="false"/>
          <w:smallCaps w:val="false"/>
          <w:color w:val="272626"/>
          <w:spacing w:val="0"/>
          <w:sz w:val="24"/>
          <w:szCs w:val="24"/>
          <w:u w:val="none"/>
          <w:shd w:fill="FFFFFF" w:val="clear"/>
        </w:rPr>
        <w:t>Hay compraventa si una de las partes se obliga a transferir la propiedad de una cosa y la otra a pagar un precio en dinero.</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BodyText"/>
        <w:widowControl/>
        <w:spacing w:before="0" w:after="0"/>
        <w:ind w:hanging="0" w:start="0" w:end="0"/>
        <w:jc w:val="center"/>
        <w:rPr>
          <w:rFonts w:ascii="Arial;Helvetica;sans-serif;Arial;Helvetica;sans-serif" w:hAnsi="Arial;Helvetica;sans-serif;Arial;Helvetica;sans-serif"/>
          <w:b w:val="false"/>
          <w:i w:val="false"/>
          <w:caps w:val="false"/>
          <w:smallCaps w:val="false"/>
          <w:strike w:val="false"/>
          <w:dstrike w:val="false"/>
          <w:color w:val="272626"/>
          <w:spacing w:val="0"/>
          <w:sz w:val="23"/>
          <w:u w:val="none"/>
          <w:effect w:val="none"/>
          <w:bdr w:val="single" w:sz="2" w:space="8" w:color="AAAAAA"/>
        </w:rPr>
      </w:pPr>
      <w:r>
        <w:rPr>
          <w:rFonts w:ascii="Arial;Helvetica;sans-serif;Arial;Helvetica;sans-serif" w:hAnsi="Arial;Helvetica;sans-serif;Arial;Helvetica;sans-serif"/>
          <w:b w:val="false"/>
          <w:i w:val="false"/>
          <w:caps w:val="false"/>
          <w:smallCaps w:val="false"/>
          <w:strike w:val="false"/>
          <w:dstrike w:val="false"/>
          <w:color w:val="272626"/>
          <w:spacing w:val="0"/>
          <w:sz w:val="23"/>
          <w:u w:val="none"/>
          <w:effect w:val="none"/>
          <w:bdr w:val="single" w:sz="2" w:space="8" w:color="AAAAAA"/>
        </w:rPr>
      </w:r>
    </w:p>
    <w:p>
      <w:pPr>
        <w:pStyle w:val="BodyText"/>
        <w:widowControl/>
        <w:spacing w:before="0" w:after="0"/>
        <w:ind w:hanging="0" w:start="0" w:end="0"/>
        <w:jc w:val="both"/>
        <w:rPr>
          <w:rFonts w:ascii="Arial;Helvetica;sans-serif;Arial;Helvetica;sans-serif" w:hAnsi="Arial;Helvetica;sans-serif;Arial;Helvetica;sans-serif"/>
          <w:b w:val="false"/>
          <w:i w:val="false"/>
          <w:caps w:val="false"/>
          <w:smallCaps w:val="false"/>
          <w:strike w:val="false"/>
          <w:dstrike w:val="false"/>
          <w:color w:val="272626"/>
          <w:spacing w:val="0"/>
          <w:sz w:val="23"/>
          <w:u w:val="none"/>
          <w:effect w:val="none"/>
          <w:bdr w:val="single" w:sz="2" w:space="8" w:color="AAAAAA"/>
        </w:rPr>
      </w:pPr>
      <w:r>
        <w:rPr>
          <w:rFonts w:ascii="Arial;Helvetica;sans-serif;Arial;Helvetica;sans-serif" w:hAnsi="Arial;Helvetica;sans-serif;Arial;Helvetica;sans-serif"/>
          <w:b w:val="false"/>
          <w:i w:val="false"/>
          <w:caps w:val="false"/>
          <w:smallCaps w:val="false"/>
          <w:strike w:val="false"/>
          <w:dstrike w:val="false"/>
          <w:color w:val="272626"/>
          <w:spacing w:val="0"/>
          <w:sz w:val="23"/>
          <w:u w:val="none"/>
          <w:effect w:val="none"/>
          <w:bdr w:val="single" w:sz="2" w:space="8" w:color="AAAAAA"/>
        </w:rPr>
      </w:r>
    </w:p>
    <w:p>
      <w:pPr>
        <w:sectPr>
          <w:type w:val="continuous"/>
          <w:pgSz w:w="11906" w:h="16838"/>
          <w:pgMar w:left="1134" w:right="1134" w:gutter="0" w:header="0" w:top="1134" w:footer="0" w:bottom="1134"/>
          <w:formProt w:val="false"/>
          <w:textDirection w:val="lrTb"/>
          <w:docGrid w:type="default" w:linePitch="100" w:charSpace="0"/>
        </w:sectPr>
      </w:pPr>
    </w:p>
    <w:p>
      <w:pPr>
        <w:pStyle w:val="Heading2"/>
        <w:widowControl/>
        <w:spacing w:lineRule="auto" w:line="288" w:before="0" w:after="450"/>
        <w:ind w:hanging="0" w:start="0" w:end="0"/>
        <w:jc w:val="both"/>
        <w:rPr>
          <w:rFonts w:ascii="Arial Narrow" w:hAnsi="Arial Narrow"/>
          <w:b/>
          <w:bCs/>
          <w:i w:val="false"/>
          <w:caps w:val="false"/>
          <w:smallCaps w:val="false"/>
          <w:color w:val="272626"/>
          <w:spacing w:val="0"/>
          <w:sz w:val="24"/>
          <w:szCs w:val="24"/>
          <w:highlight w:val="none"/>
          <w:u w:val="single"/>
          <w:shd w:fill="FFFF00" w:val="clear"/>
        </w:rPr>
      </w:pPr>
      <w:bookmarkStart w:id="0" w:name="Analisis_del_Articulo_1123_del_Codigo_Ci"/>
      <w:bookmarkEnd w:id="0"/>
      <w:r>
        <w:rPr>
          <w:rFonts w:ascii="Arial Narrow" w:hAnsi="Arial Narrow"/>
          <w:b/>
          <w:bCs/>
          <w:i w:val="false"/>
          <w:caps w:val="false"/>
          <w:smallCaps w:val="false"/>
          <w:color w:val="272626"/>
          <w:spacing w:val="0"/>
          <w:sz w:val="24"/>
          <w:szCs w:val="24"/>
          <w:u w:val="single"/>
          <w:shd w:fill="FFFF00" w:val="clear"/>
        </w:rPr>
        <w:t>Análisis del Artículo 1123 del Código Civil Comentado</w:t>
      </w:r>
    </w:p>
    <w:p>
      <w:pPr>
        <w:pStyle w:val="BodyText"/>
        <w:widowControl/>
        <w:spacing w:before="0" w:after="450"/>
        <w:ind w:hanging="0" w:start="0" w:end="0"/>
        <w:jc w:val="both"/>
        <w:rPr>
          <w:rFonts w:ascii="Arial Narrow" w:hAnsi="Arial Narrow"/>
          <w:b w:val="false"/>
          <w:bCs/>
          <w:i w:val="false"/>
          <w:caps w:val="false"/>
          <w:smallCaps w:val="false"/>
          <w:color w:val="272626"/>
          <w:spacing w:val="0"/>
          <w:sz w:val="24"/>
          <w:szCs w:val="24"/>
          <w:shd w:fill="FFFFFF" w:val="clear"/>
        </w:rPr>
      </w:pPr>
      <w:r>
        <w:rPr>
          <w:rFonts w:ascii="Arial Narrow" w:hAnsi="Arial Narrow"/>
          <w:b w:val="false"/>
          <w:bCs/>
          <w:i w:val="false"/>
          <w:caps w:val="false"/>
          <w:smallCaps w:val="false"/>
          <w:color w:val="272626"/>
          <w:spacing w:val="0"/>
          <w:sz w:val="24"/>
          <w:szCs w:val="24"/>
          <w:shd w:fill="FFFFFF" w:val="clear"/>
        </w:rPr>
        <w:t>Análisis del artículo 1123 del Código Civil y Comercial de la Nación Argentina ¿Qué dice el artículo 1123 del Código Civil? ¿Qué establece el art. 1123 del Código Civil y Comercial de la Nación Argentina?</w:t>
      </w:r>
    </w:p>
    <w:p>
      <w:pPr>
        <w:pStyle w:val="Heading2"/>
        <w:widowControl/>
        <w:spacing w:lineRule="auto" w:line="288" w:before="0" w:after="450"/>
        <w:ind w:hanging="0" w:start="0" w:end="0"/>
        <w:jc w:val="both"/>
        <w:rPr>
          <w:rFonts w:ascii="Arial Narrow" w:hAnsi="Arial Narrow"/>
          <w:b/>
          <w:bCs/>
          <w:i w:val="false"/>
          <w:caps w:val="false"/>
          <w:smallCaps w:val="false"/>
          <w:color w:val="272626"/>
          <w:spacing w:val="0"/>
          <w:sz w:val="24"/>
          <w:szCs w:val="24"/>
          <w:shd w:fill="FFFFFF" w:val="clear"/>
        </w:rPr>
      </w:pPr>
      <w:bookmarkStart w:id="1" w:name="1_Introduccion"/>
      <w:bookmarkEnd w:id="1"/>
      <w:r>
        <w:rPr>
          <w:rFonts w:ascii="Arial Narrow" w:hAnsi="Arial Narrow"/>
          <w:b/>
          <w:bCs/>
          <w:i w:val="false"/>
          <w:caps w:val="false"/>
          <w:smallCaps w:val="false"/>
          <w:color w:val="272626"/>
          <w:spacing w:val="0"/>
          <w:sz w:val="24"/>
          <w:szCs w:val="24"/>
          <w:shd w:fill="FFFFFF" w:val="clear"/>
        </w:rPr>
        <w:t>1. Introducción</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El CCyC comienza el tratamiento de los contratos en particular con la regulación del contrato de compraventa.</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Ha sido un acierto metodológico del código unificado eliminar el tratamiento en este título de la sociedad conyugal que tenía el código de vélez sarsfield, ubicando el desarrollo de tal instituto en el libro segundo referido a las relaciones de familia.</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La definición propuesta por el art. 1123 CCyC resulta adecuada, pues identifica los elementos esenciales del contrato: cosa y precio; y la finalidad económica: obligarse a transferir la propiedad.</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También resulta acertada la eliminación de la obligación de recibir el precio a la que hacía referencia la definición de compraventa propuesta por el art. 1323 cc, pues se trataba de una obligación accesoria y no definitoria del contrato.</w:t>
      </w:r>
    </w:p>
    <w:p>
      <w:pPr>
        <w:pStyle w:val="Heading2"/>
        <w:widowControl/>
        <w:spacing w:lineRule="auto" w:line="288" w:before="0" w:after="450"/>
        <w:ind w:hanging="0" w:start="0" w:end="0"/>
        <w:jc w:val="both"/>
        <w:rPr>
          <w:rFonts w:ascii="Arial Narrow" w:hAnsi="Arial Narrow"/>
          <w:b/>
          <w:bCs/>
          <w:i w:val="false"/>
          <w:caps w:val="false"/>
          <w:smallCaps w:val="false"/>
          <w:color w:val="111111"/>
          <w:spacing w:val="0"/>
          <w:sz w:val="24"/>
          <w:szCs w:val="24"/>
          <w:shd w:fill="FFFFFF" w:val="clear"/>
        </w:rPr>
      </w:pPr>
      <w:bookmarkStart w:id="2" w:name="2_Interpretacion_del_Articulo_1123"/>
      <w:bookmarkEnd w:id="2"/>
      <w:r>
        <w:rPr>
          <w:rFonts w:ascii="Arial Narrow" w:hAnsi="Arial Narrow"/>
          <w:b/>
          <w:bCs/>
          <w:i w:val="false"/>
          <w:caps w:val="false"/>
          <w:smallCaps w:val="false"/>
          <w:color w:val="111111"/>
          <w:spacing w:val="0"/>
          <w:sz w:val="24"/>
          <w:szCs w:val="24"/>
          <w:shd w:fill="FFFFFF" w:val="clear"/>
        </w:rPr>
        <w:t>2. Interpretación del Artículo 1123</w:t>
      </w:r>
    </w:p>
    <w:p>
      <w:pPr>
        <w:pStyle w:val="Heading3"/>
        <w:widowControl/>
        <w:spacing w:lineRule="auto" w:line="336" w:before="0" w:after="450"/>
        <w:ind w:hanging="0" w:start="0" w:end="0"/>
        <w:jc w:val="both"/>
        <w:rPr>
          <w:rFonts w:ascii="Arial Narrow" w:hAnsi="Arial Narrow"/>
          <w:b/>
          <w:bCs/>
          <w:i w:val="false"/>
          <w:caps w:val="false"/>
          <w:smallCaps w:val="false"/>
          <w:color w:val="111111"/>
          <w:spacing w:val="0"/>
          <w:sz w:val="24"/>
          <w:szCs w:val="24"/>
          <w:shd w:fill="FFFFFF" w:val="clear"/>
        </w:rPr>
      </w:pPr>
      <w:bookmarkStart w:id="3" w:name="21_Clasificacion"/>
      <w:bookmarkEnd w:id="3"/>
      <w:r>
        <w:rPr>
          <w:rFonts w:ascii="Arial Narrow" w:hAnsi="Arial Narrow"/>
          <w:b/>
          <w:bCs/>
          <w:i w:val="false"/>
          <w:caps w:val="false"/>
          <w:smallCaps w:val="false"/>
          <w:color w:val="111111"/>
          <w:spacing w:val="0"/>
          <w:sz w:val="24"/>
          <w:szCs w:val="24"/>
          <w:shd w:fill="FFFFFF" w:val="clear"/>
        </w:rPr>
        <w:t>2.1. Clasificación</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A partir de la definición de contrato de compraventa podemos distinguir los siguientes caracteres:</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a)</w:t>
      </w:r>
      <w:r>
        <w:rPr>
          <w:rStyle w:val="Strong"/>
          <w:rFonts w:ascii="Arial Narrow" w:hAnsi="Arial Narrow"/>
          <w:b w:val="false"/>
          <w:i w:val="false"/>
          <w:caps w:val="false"/>
          <w:smallCaps w:val="false"/>
          <w:color w:val="111111"/>
          <w:spacing w:val="0"/>
          <w:sz w:val="24"/>
          <w:szCs w:val="24"/>
          <w:shd w:fill="FFFFFF" w:val="clear"/>
        </w:rPr>
        <w:t> bilateral</w:t>
      </w:r>
      <w:r>
        <w:rPr>
          <w:rFonts w:ascii="Arial Narrow" w:hAnsi="Arial Narrow"/>
          <w:b w:val="false"/>
          <w:bCs/>
          <w:i w:val="false"/>
          <w:caps w:val="false"/>
          <w:smallCaps w:val="false"/>
          <w:color w:val="111111"/>
          <w:spacing w:val="0"/>
          <w:sz w:val="24"/>
          <w:szCs w:val="24"/>
          <w:shd w:fill="FFFFFF" w:val="clear"/>
        </w:rPr>
        <w:t> (art. 966 CCyC), pues emergen obligaciones para ambas partes contratantes (transferir la propiedad de una cosa el vendedor, y pagar un precio en dinero el comprador);</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b)</w:t>
      </w:r>
      <w:r>
        <w:rPr>
          <w:rStyle w:val="Strong"/>
          <w:rFonts w:ascii="Arial Narrow" w:hAnsi="Arial Narrow"/>
          <w:b w:val="false"/>
          <w:i w:val="false"/>
          <w:caps w:val="false"/>
          <w:smallCaps w:val="false"/>
          <w:color w:val="111111"/>
          <w:spacing w:val="0"/>
          <w:sz w:val="24"/>
          <w:szCs w:val="24"/>
          <w:shd w:fill="FFFFFF" w:val="clear"/>
        </w:rPr>
        <w:t> oneroso</w:t>
      </w:r>
      <w:r>
        <w:rPr>
          <w:rFonts w:ascii="Arial Narrow" w:hAnsi="Arial Narrow"/>
          <w:b w:val="false"/>
          <w:bCs/>
          <w:i w:val="false"/>
          <w:caps w:val="false"/>
          <w:smallCaps w:val="false"/>
          <w:color w:val="111111"/>
          <w:spacing w:val="0"/>
          <w:sz w:val="24"/>
          <w:szCs w:val="24"/>
          <w:shd w:fill="FFFFFF" w:val="clear"/>
        </w:rPr>
        <w:t> (art. 967 CCyC); ya que representa ventajas y sacrificios para ambas partes;</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c) en principio</w:t>
      </w:r>
      <w:r>
        <w:rPr>
          <w:rStyle w:val="Strong"/>
          <w:rFonts w:ascii="Arial Narrow" w:hAnsi="Arial Narrow"/>
          <w:b w:val="false"/>
          <w:i w:val="false"/>
          <w:caps w:val="false"/>
          <w:smallCaps w:val="false"/>
          <w:color w:val="111111"/>
          <w:spacing w:val="0"/>
          <w:sz w:val="24"/>
          <w:szCs w:val="24"/>
          <w:shd w:fill="FFFFFF" w:val="clear"/>
        </w:rPr>
        <w:t> conmutativo</w:t>
      </w:r>
      <w:r>
        <w:rPr>
          <w:rFonts w:ascii="Arial Narrow" w:hAnsi="Arial Narrow"/>
          <w:b w:val="false"/>
          <w:bCs/>
          <w:i w:val="false"/>
          <w:caps w:val="false"/>
          <w:smallCaps w:val="false"/>
          <w:color w:val="111111"/>
          <w:spacing w:val="0"/>
          <w:sz w:val="24"/>
          <w:szCs w:val="24"/>
          <w:shd w:fill="FFFFFF" w:val="clear"/>
        </w:rPr>
        <w:t> (art. 968 CCyC); en tanto las ventajas para todos los contratantes son ciertas. Sin embargo, puede ser aleatorio en los supuestos contemplados por los arts. 1130 y 1131 CCyC, o cuando así lo hayan previsto las partes en ejercicio de la autonomía de la voluntad;</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d)</w:t>
      </w:r>
      <w:r>
        <w:rPr>
          <w:rStyle w:val="Strong"/>
          <w:rFonts w:ascii="Arial Narrow" w:hAnsi="Arial Narrow"/>
          <w:b w:val="false"/>
          <w:i w:val="false"/>
          <w:caps w:val="false"/>
          <w:smallCaps w:val="false"/>
          <w:color w:val="111111"/>
          <w:spacing w:val="0"/>
          <w:sz w:val="24"/>
          <w:szCs w:val="24"/>
          <w:shd w:fill="FFFFFF" w:val="clear"/>
        </w:rPr>
        <w:t> formal</w:t>
      </w:r>
      <w:r>
        <w:rPr>
          <w:rFonts w:ascii="Arial Narrow" w:hAnsi="Arial Narrow"/>
          <w:b w:val="false"/>
          <w:bCs/>
          <w:i w:val="false"/>
          <w:caps w:val="false"/>
          <w:smallCaps w:val="false"/>
          <w:color w:val="111111"/>
          <w:spacing w:val="0"/>
          <w:sz w:val="24"/>
          <w:szCs w:val="24"/>
          <w:shd w:fill="FFFFFF" w:val="clear"/>
        </w:rPr>
        <w:t> (art. 969 CCyC) en el caso de los bienes inmuebles (art. 1017 CC) y no formal en los demás supuestos;</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c)</w:t>
      </w:r>
      <w:r>
        <w:rPr>
          <w:rStyle w:val="Strong"/>
          <w:rFonts w:ascii="Arial Narrow" w:hAnsi="Arial Narrow"/>
          <w:b w:val="false"/>
          <w:i w:val="false"/>
          <w:caps w:val="false"/>
          <w:smallCaps w:val="false"/>
          <w:color w:val="111111"/>
          <w:spacing w:val="0"/>
          <w:sz w:val="24"/>
          <w:szCs w:val="24"/>
          <w:shd w:fill="FFFFFF" w:val="clear"/>
        </w:rPr>
        <w:t> nominado</w:t>
      </w:r>
      <w:r>
        <w:rPr>
          <w:rFonts w:ascii="Arial Narrow" w:hAnsi="Arial Narrow"/>
          <w:b w:val="false"/>
          <w:bCs/>
          <w:i w:val="false"/>
          <w:caps w:val="false"/>
          <w:smallCaps w:val="false"/>
          <w:color w:val="111111"/>
          <w:spacing w:val="0"/>
          <w:sz w:val="24"/>
          <w:szCs w:val="24"/>
          <w:shd w:fill="FFFFFF" w:val="clear"/>
        </w:rPr>
        <w:t> (art. 970 CCyC), ya que tiene una regulación legal completa y específica.</w:t>
      </w:r>
    </w:p>
    <w:p>
      <w:pPr>
        <w:pStyle w:val="Heading3"/>
        <w:widowControl/>
        <w:spacing w:lineRule="auto" w:line="336" w:before="0" w:after="450"/>
        <w:ind w:hanging="0" w:start="0" w:end="0"/>
        <w:jc w:val="both"/>
        <w:rPr>
          <w:rFonts w:ascii="Arial Narrow" w:hAnsi="Arial Narrow"/>
          <w:b/>
          <w:bCs/>
          <w:i w:val="false"/>
          <w:caps w:val="false"/>
          <w:smallCaps w:val="false"/>
          <w:color w:val="111111"/>
          <w:spacing w:val="0"/>
          <w:sz w:val="24"/>
          <w:szCs w:val="24"/>
          <w:shd w:fill="FFFFFF" w:val="clear"/>
        </w:rPr>
      </w:pPr>
      <w:bookmarkStart w:id="4" w:name="22_Compraventa_y_transmision_del_dominio"/>
      <w:bookmarkEnd w:id="4"/>
      <w:r>
        <w:rPr>
          <w:rFonts w:ascii="Arial Narrow" w:hAnsi="Arial Narrow"/>
          <w:b/>
          <w:bCs/>
          <w:i w:val="false"/>
          <w:caps w:val="false"/>
          <w:smallCaps w:val="false"/>
          <w:color w:val="111111"/>
          <w:spacing w:val="0"/>
          <w:sz w:val="24"/>
          <w:szCs w:val="24"/>
          <w:shd w:fill="FFFFFF" w:val="clear"/>
        </w:rPr>
        <w:t>2.2. Compraventa y transmisión del dominio</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Si bien la compraventa es un título causal idóneo para transmitir el dominio de una cosa, no basta su celebración para producir el efecto transmisivo; pues de conformidad con lo dispuesto por el art. 1892 CCyC: “</w:t>
      </w:r>
      <w:r>
        <w:rPr>
          <w:rStyle w:val="Emphasis"/>
          <w:rFonts w:ascii="Arial Narrow" w:hAnsi="Arial Narrow"/>
          <w:b w:val="false"/>
          <w:bCs/>
          <w:i w:val="false"/>
          <w:caps w:val="false"/>
          <w:smallCaps w:val="false"/>
          <w:color w:val="111111"/>
          <w:spacing w:val="0"/>
          <w:sz w:val="24"/>
          <w:szCs w:val="24"/>
          <w:shd w:fill="FFFFFF" w:val="clear"/>
        </w:rPr>
        <w:t>La adquisición derivada por actos entre vivos de un derecho real requiere la concurrencia de título y modo suficientes…</w:t>
      </w:r>
      <w:r>
        <w:rPr>
          <w:rFonts w:ascii="Arial Narrow" w:hAnsi="Arial Narrow"/>
          <w:b w:val="false"/>
          <w:bCs/>
          <w:i w:val="false"/>
          <w:caps w:val="false"/>
          <w:smallCaps w:val="false"/>
          <w:color w:val="111111"/>
          <w:spacing w:val="0"/>
          <w:sz w:val="24"/>
          <w:szCs w:val="24"/>
          <w:shd w:fill="FFFFFF" w:val="clear"/>
        </w:rPr>
        <w:t>”.</w:t>
      </w:r>
    </w:p>
    <w:p>
      <w:pPr>
        <w:pStyle w:val="BodyText"/>
        <w:widowControl/>
        <w:spacing w:before="0" w:after="450"/>
        <w:ind w:hanging="0" w:start="0" w:end="0"/>
        <w:jc w:val="both"/>
        <w:rPr>
          <w:rFonts w:ascii="Arial Narrow" w:hAnsi="Arial Narrow"/>
          <w:b/>
          <w:bCs/>
          <w:color w:val="111111"/>
          <w:shd w:fill="FFFFFF" w:val="clear"/>
        </w:rPr>
      </w:pPr>
      <w:r>
        <w:rPr>
          <w:rFonts w:ascii="Arial Narrow" w:hAnsi="Arial Narrow"/>
          <w:b w:val="false"/>
          <w:bCs/>
          <w:i w:val="false"/>
          <w:caps w:val="false"/>
          <w:smallCaps w:val="false"/>
          <w:color w:val="111111"/>
          <w:spacing w:val="0"/>
          <w:sz w:val="24"/>
          <w:szCs w:val="24"/>
          <w:shd w:fill="FFFFFF" w:val="clear"/>
        </w:rPr>
        <w:t>El modo al que hace referencia el citado artículo es la tradición posesoria. en concordancia con ello, el art. 750 CCyC prevé que: “</w:t>
      </w:r>
      <w:r>
        <w:rPr>
          <w:rStyle w:val="Emphasis"/>
          <w:rFonts w:ascii="Arial Narrow" w:hAnsi="Arial Narrow"/>
          <w:b w:val="false"/>
          <w:bCs/>
          <w:i w:val="false"/>
          <w:caps w:val="false"/>
          <w:smallCaps w:val="false"/>
          <w:color w:val="111111"/>
          <w:spacing w:val="0"/>
          <w:sz w:val="24"/>
          <w:szCs w:val="24"/>
          <w:shd w:fill="FFFFFF" w:val="clear"/>
        </w:rPr>
        <w:t>El acreedor no adquiere ningún derecho real sobre la cosa antes de la tradición, excepto disposición legal en contrario</w:t>
      </w:r>
      <w:r>
        <w:rPr>
          <w:rFonts w:ascii="Arial Narrow" w:hAnsi="Arial Narrow"/>
          <w:b w:val="false"/>
          <w:bCs/>
          <w:i w:val="false"/>
          <w:caps w:val="false"/>
          <w:smallCaps w:val="false"/>
          <w:color w:val="111111"/>
          <w:spacing w:val="0"/>
          <w:sz w:val="24"/>
          <w:szCs w:val="24"/>
          <w:shd w:fill="FFFFFF" w:val="clear"/>
        </w:rPr>
        <w:t>”.</w:t>
      </w:r>
    </w:p>
    <w:p>
      <w:pPr>
        <w:pStyle w:val="BodyText"/>
        <w:widowControl/>
        <w:spacing w:before="0" w:after="450"/>
        <w:ind w:hanging="0" w:start="0" w:end="0"/>
        <w:jc w:val="both"/>
        <w:rPr>
          <w:rFonts w:ascii="Arial Narrow" w:hAnsi="Arial Narrow"/>
          <w:b w:val="false"/>
          <w:bCs/>
          <w:i w:val="false"/>
          <w:caps w:val="false"/>
          <w:smallCaps w:val="false"/>
          <w:color w:val="111111"/>
          <w:spacing w:val="0"/>
          <w:sz w:val="24"/>
          <w:szCs w:val="24"/>
          <w:shd w:fill="FFFFFF" w:val="clear"/>
        </w:rPr>
      </w:pPr>
      <w:r>
        <w:rPr>
          <w:rFonts w:ascii="Arial Narrow" w:hAnsi="Arial Narrow"/>
          <w:b w:val="false"/>
          <w:bCs/>
          <w:i w:val="false"/>
          <w:caps w:val="false"/>
          <w:smallCaps w:val="false"/>
          <w:color w:val="111111"/>
          <w:spacing w:val="0"/>
          <w:sz w:val="24"/>
          <w:szCs w:val="24"/>
          <w:shd w:fill="FFFFFF" w:val="clear"/>
        </w:rPr>
        <w:t>Por ello es correcto definir, tal como lo propone el art. 1123 CCyC, que en virtud de la compraventa el vendedor se obliga a transferir la propiedad de una cosa; pues con la celebración del contrato, revestido en su caso con las formas establecidas por la ley, se tendrá el título causal, restando la obligación de cumplir la tradición posesoria a partir de la cual quedará verificado el dominio en cabeza del comprador. ello sin perjuicio de la oponibilidad frente a terceros que en materia de bienes inmuebles requiere el art. 1893 CCyC.</w:t>
      </w:r>
    </w:p>
    <w:p>
      <w:pPr>
        <w:pStyle w:val="Normal"/>
        <w:bidi w:val="0"/>
        <w:jc w:val="both"/>
        <w:rPr>
          <w:rFonts w:ascii="Arial Narrow" w:hAnsi="Arial Narrow"/>
          <w:b/>
          <w:bCs/>
          <w:color w:val="111111"/>
          <w:sz w:val="24"/>
          <w:szCs w:val="24"/>
          <w:u w:val="none"/>
          <w:shd w:fill="FFFFFF" w:val="clear"/>
        </w:rPr>
      </w:pPr>
      <w:r>
        <w:rPr>
          <w:rFonts w:ascii="Arial Narrow" w:hAnsi="Arial Narrow"/>
          <w:b/>
          <w:bCs/>
          <w:color w:val="111111"/>
          <w:sz w:val="24"/>
          <w:szCs w:val="24"/>
          <w:u w:val="none"/>
          <w:shd w:fill="FFFFFF" w:val="clea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Arial Narrow">
    <w:charset w:val="01" w:characterSet="utf-8"/>
    <w:family w:val="swiss"/>
    <w:pitch w:val="variable"/>
  </w:font>
  <w:font w:name="Segoe UI">
    <w:altName w:val="Roboto"/>
    <w:charset w:val="01" w:characterSet="utf-8"/>
    <w:family w:val="roman"/>
    <w:pitch w:val="variable"/>
  </w:font>
  <w:font w:name="Arial">
    <w:altName w:val="Helvetica"/>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AR" w:eastAsia="zh-CN" w:bidi="hi-IN"/>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SimSun" w:cs="Lucida Sans"/>
      <w:b/>
      <w:bCs/>
      <w:sz w:val="20"/>
      <w:szCs w:val="20"/>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lockQuotationuser">
    <w:name w:val="Block Quotation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LibreOffice/26.2.1.2$Windows_X86_64 LibreOffice_project/620$Build-2</Application>
  <AppVersion>15.0000</AppVersion>
  <Pages>6</Pages>
  <Words>3236</Words>
  <Characters>17080</Characters>
  <CharactersWithSpaces>20257</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2026-05-14T15:13:44Z</dcterms:created>
  <dc:creator/>
  <dc:description/>
  <dc:language>es-AR</dc:language>
  <cp:lastModifiedBy/>
  <dcterms:modified xsi:type="dcterms:W3CDTF">2026-05-18T16:46:24Z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